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int="default" w:ascii="Times New Roman" w:hAnsi="Times New Roman" w:cs="Times New Roman"/>
          <w:b/>
          <w:color w:val="FF0000"/>
          <w:sz w:val="72"/>
          <w:szCs w:val="72"/>
        </w:rPr>
      </w:pPr>
    </w:p>
    <w:p>
      <w:pPr>
        <w:spacing w:after="156" w:afterLines="50"/>
        <w:jc w:val="center"/>
        <w:rPr>
          <w:rFonts w:hint="eastAsia" w:ascii="仿宋" w:hAnsi="仿宋" w:eastAsia="仿宋" w:cs="仿宋"/>
          <w:b/>
          <w:color w:val="FF0000"/>
          <w:sz w:val="72"/>
          <w:szCs w:val="72"/>
        </w:rPr>
      </w:pPr>
    </w:p>
    <w:p>
      <w:pPr>
        <w:spacing w:after="156" w:afterLines="50"/>
        <w:jc w:val="center"/>
        <w:rPr>
          <w:rFonts w:hint="eastAsia" w:ascii="仿宋" w:hAnsi="仿宋" w:eastAsia="仿宋" w:cs="仿宋"/>
          <w:color w:val="FF0000"/>
          <w:sz w:val="48"/>
          <w:szCs w:val="48"/>
        </w:rPr>
      </w:pPr>
    </w:p>
    <w:p>
      <w:pPr>
        <w:spacing w:after="156" w:afterLines="50"/>
        <w:jc w:val="right"/>
        <w:rPr>
          <w:rFonts w:hint="default" w:ascii="Times New Roman" w:hAnsi="Times New Roman" w:eastAsia="仿宋" w:cs="Times New Roman"/>
          <w:sz w:val="32"/>
          <w:szCs w:val="32"/>
          <w:lang w:eastAsia="zh-CN"/>
        </w:rPr>
      </w:pPr>
      <w:r>
        <w:rPr>
          <w:rFonts w:hint="default" w:ascii="Times New Roman" w:hAnsi="Times New Roman" w:eastAsia="仿宋" w:cs="Times New Roman"/>
          <w:sz w:val="32"/>
          <w:szCs w:val="32"/>
        </w:rPr>
        <w:t>湘股交所〔202</w:t>
      </w:r>
      <w:r>
        <w:rPr>
          <w:rFonts w:hint="eastAsia" w:ascii="Times New Roman" w:hAnsi="Times New Roman" w:eastAsia="仿宋" w:cs="Times New Roman"/>
          <w:sz w:val="32"/>
          <w:szCs w:val="32"/>
          <w:lang w:val="en-US" w:eastAsia="zh-CN"/>
        </w:rPr>
        <w:t>4</w:t>
      </w:r>
      <w:r>
        <w:rPr>
          <w:rFonts w:hint="default" w:ascii="Times New Roman" w:hAnsi="Times New Roman" w:eastAsia="仿宋" w:cs="Times New Roman"/>
          <w:sz w:val="32"/>
          <w:szCs w:val="32"/>
        </w:rPr>
        <w:t>〕</w:t>
      </w:r>
      <w:r>
        <w:rPr>
          <w:rFonts w:hint="eastAsia" w:ascii="Times New Roman" w:hAnsi="Times New Roman" w:eastAsia="仿宋" w:cs="Times New Roman"/>
          <w:sz w:val="32"/>
          <w:szCs w:val="32"/>
          <w:lang w:val="en-US" w:eastAsia="zh-CN"/>
        </w:rPr>
        <w:t>15</w:t>
      </w:r>
      <w:r>
        <w:rPr>
          <w:rFonts w:hint="default" w:ascii="Times New Roman" w:hAnsi="Times New Roman" w:eastAsia="仿宋" w:cs="Times New Roman"/>
          <w:sz w:val="32"/>
          <w:szCs w:val="32"/>
        </w:rPr>
        <w:t>号</w:t>
      </w:r>
    </w:p>
    <w:p>
      <w:pPr>
        <w:jc w:val="center"/>
        <w:rPr>
          <w:rFonts w:hint="default" w:ascii="Times New Roman" w:hAnsi="Times New Roman" w:cs="Times New Roman"/>
          <w:b/>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color w:val="auto"/>
          <w:w w:val="100"/>
          <w:sz w:val="44"/>
          <w:szCs w:val="44"/>
          <w:highlight w:val="none"/>
          <w:lang w:eastAsia="zh-Hans"/>
        </w:rPr>
      </w:pPr>
      <w:r>
        <w:rPr>
          <w:rFonts w:hint="default" w:ascii="Times New Roman" w:hAnsi="Times New Roman" w:eastAsia="方正小标宋_GBK" w:cs="Times New Roman"/>
          <w:b w:val="0"/>
          <w:bCs/>
          <w:color w:val="auto"/>
          <w:w w:val="100"/>
          <w:sz w:val="44"/>
          <w:szCs w:val="44"/>
          <w:highlight w:val="none"/>
          <w:lang w:val="en-US" w:eastAsia="zh-Hans"/>
        </w:rPr>
        <w:t>关于</w:t>
      </w:r>
      <w:r>
        <w:rPr>
          <w:rFonts w:hint="eastAsia" w:ascii="Times New Roman" w:hAnsi="Times New Roman" w:eastAsia="方正小标宋_GBK" w:cs="Times New Roman"/>
          <w:b w:val="0"/>
          <w:bCs/>
          <w:color w:val="auto"/>
          <w:w w:val="100"/>
          <w:sz w:val="44"/>
          <w:szCs w:val="44"/>
          <w:highlight w:val="none"/>
          <w:lang w:val="en-US" w:eastAsia="zh-CN"/>
        </w:rPr>
        <w:t>印发</w:t>
      </w:r>
      <w:r>
        <w:rPr>
          <w:rFonts w:hint="default" w:ascii="Times New Roman" w:hAnsi="Times New Roman" w:eastAsia="方正小标宋_GBK" w:cs="Times New Roman"/>
          <w:b w:val="0"/>
          <w:bCs/>
          <w:color w:val="auto"/>
          <w:w w:val="100"/>
          <w:sz w:val="44"/>
          <w:szCs w:val="44"/>
          <w:highlight w:val="none"/>
          <w:lang w:eastAsia="zh-Hans"/>
        </w:rPr>
        <w:t>《湖南省区域性股权市场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_GBK" w:cs="Times New Roman"/>
          <w:b w:val="0"/>
          <w:bCs/>
          <w:color w:val="auto"/>
          <w:w w:val="100"/>
          <w:sz w:val="44"/>
          <w:szCs w:val="44"/>
          <w:highlight w:val="none"/>
          <w:lang w:val="en-US" w:eastAsia="zh-CN"/>
        </w:rPr>
      </w:pPr>
      <w:r>
        <w:rPr>
          <w:rFonts w:hint="default" w:ascii="Times New Roman" w:hAnsi="Times New Roman" w:eastAsia="方正小标宋_GBK" w:cs="Times New Roman"/>
          <w:b w:val="0"/>
          <w:bCs/>
          <w:color w:val="auto"/>
          <w:w w:val="100"/>
          <w:sz w:val="44"/>
          <w:szCs w:val="44"/>
          <w:highlight w:val="none"/>
          <w:lang w:eastAsia="zh-Hans"/>
        </w:rPr>
        <w:t>专精特新专板业务管理规则</w:t>
      </w:r>
      <w:r>
        <w:rPr>
          <w:rFonts w:hint="default" w:ascii="Times New Roman" w:hAnsi="Times New Roman" w:eastAsia="方正小标宋_GBK" w:cs="Times New Roman"/>
          <w:b w:val="0"/>
          <w:bCs/>
          <w:color w:val="auto"/>
          <w:w w:val="100"/>
          <w:sz w:val="44"/>
          <w:szCs w:val="44"/>
          <w:highlight w:val="none"/>
        </w:rPr>
        <w:t>》</w:t>
      </w:r>
      <w:r>
        <w:rPr>
          <w:rFonts w:hint="default" w:ascii="Times New Roman" w:hAnsi="Times New Roman" w:eastAsia="方正小标宋_GBK" w:cs="Times New Roman"/>
          <w:b w:val="0"/>
          <w:bCs/>
          <w:color w:val="auto"/>
          <w:w w:val="100"/>
          <w:sz w:val="44"/>
          <w:szCs w:val="44"/>
          <w:highlight w:val="none"/>
          <w:lang w:val="en-US" w:eastAsia="zh-Hans"/>
        </w:rPr>
        <w:t>的</w:t>
      </w:r>
      <w:r>
        <w:rPr>
          <w:rFonts w:hint="eastAsia" w:ascii="Times New Roman" w:hAnsi="Times New Roman" w:eastAsia="方正小标宋_GBK" w:cs="Times New Roman"/>
          <w:b w:val="0"/>
          <w:bCs/>
          <w:color w:val="auto"/>
          <w:w w:val="100"/>
          <w:sz w:val="44"/>
          <w:szCs w:val="44"/>
          <w:highlight w:val="none"/>
          <w:lang w:val="en-US" w:eastAsia="zh-CN"/>
        </w:rPr>
        <w:t>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b/>
          <w:color w:val="auto"/>
          <w:sz w:val="36"/>
          <w:szCs w:val="3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仿宋" w:cs="Times New Roman"/>
          <w:b w:val="0"/>
          <w:bCs w:val="0"/>
          <w:color w:val="auto"/>
          <w:sz w:val="32"/>
          <w:szCs w:val="32"/>
          <w:highlight w:val="none"/>
        </w:rPr>
      </w:pPr>
      <w:r>
        <w:rPr>
          <w:rFonts w:hint="eastAsia" w:ascii="Times New Roman" w:hAnsi="Times New Roman" w:eastAsia="仿宋" w:cs="Times New Roman"/>
          <w:b w:val="0"/>
          <w:bCs w:val="0"/>
          <w:color w:val="auto"/>
          <w:sz w:val="32"/>
          <w:szCs w:val="32"/>
          <w:highlight w:val="none"/>
          <w:lang w:val="en-US" w:eastAsia="zh-CN"/>
        </w:rPr>
        <w:t>各部门</w:t>
      </w:r>
      <w:r>
        <w:rPr>
          <w:rFonts w:hint="default" w:ascii="Times New Roman" w:hAnsi="Times New Roman" w:eastAsia="仿宋" w:cs="Times New Roman"/>
          <w:b w:val="0"/>
          <w:bCs w:val="0"/>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b w:val="0"/>
          <w:bCs w:val="0"/>
          <w:color w:val="auto"/>
          <w:sz w:val="32"/>
          <w:szCs w:val="32"/>
          <w:highlight w:val="none"/>
          <w:lang w:val="en-US" w:eastAsia="zh-CN"/>
        </w:rPr>
      </w:pPr>
      <w:r>
        <w:rPr>
          <w:rFonts w:hint="eastAsia" w:ascii="仿宋" w:hAnsi="仿宋" w:eastAsia="仿宋" w:cs="仿宋"/>
          <w:color w:val="auto"/>
          <w:sz w:val="32"/>
          <w:szCs w:val="32"/>
          <w:highlight w:val="none"/>
          <w:lang w:val="en-US" w:eastAsia="zh-CN"/>
        </w:rPr>
        <w:t>《湖南省区域性股权市场专精特新专板业务管理规则》</w:t>
      </w:r>
      <w:r>
        <w:rPr>
          <w:rFonts w:hint="eastAsia" w:ascii="Times New Roman" w:hAnsi="Times New Roman" w:eastAsia="仿宋" w:cs="Times New Roman"/>
          <w:b w:val="0"/>
          <w:bCs w:val="0"/>
          <w:color w:val="auto"/>
          <w:sz w:val="32"/>
          <w:szCs w:val="32"/>
          <w:highlight w:val="none"/>
          <w:lang w:val="en-US" w:eastAsia="zh-CN"/>
        </w:rPr>
        <w:t>经公司经营层审议通过，现予以印发，请认真组织学习，并遵照执行。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b w:val="0"/>
          <w:bCs w:val="0"/>
          <w:color w:val="auto"/>
          <w:sz w:val="32"/>
          <w:szCs w:val="32"/>
          <w:highlight w:val="none"/>
          <w:lang w:val="en-US" w:eastAsia="zh-CN"/>
        </w:rPr>
      </w:pPr>
      <w:r>
        <w:rPr>
          <w:rFonts w:hint="default" w:ascii="Times New Roman" w:hAnsi="Times New Roman" w:eastAsia="仿宋" w:cs="Times New Roman"/>
          <w:b w:val="0"/>
          <w:bCs w:val="0"/>
          <w:color w:val="auto"/>
          <w:sz w:val="32"/>
          <w:szCs w:val="32"/>
          <w:highlight w:val="none"/>
          <w:lang w:val="en-US" w:eastAsia="zh-CN"/>
        </w:rPr>
        <w:t>特此</w:t>
      </w:r>
      <w:r>
        <w:rPr>
          <w:rFonts w:hint="eastAsia" w:ascii="Times New Roman" w:hAnsi="Times New Roman" w:eastAsia="仿宋" w:cs="Times New Roman"/>
          <w:b w:val="0"/>
          <w:bCs w:val="0"/>
          <w:color w:val="auto"/>
          <w:sz w:val="32"/>
          <w:szCs w:val="32"/>
          <w:highlight w:val="none"/>
          <w:lang w:val="en-US" w:eastAsia="zh-CN"/>
        </w:rPr>
        <w:t>通知</w:t>
      </w:r>
      <w:r>
        <w:rPr>
          <w:rFonts w:hint="default" w:ascii="Times New Roman" w:hAnsi="Times New Roman" w:eastAsia="仿宋" w:cs="Times New Roman"/>
          <w:b w:val="0"/>
          <w:bCs w:val="0"/>
          <w:color w:val="auto"/>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b w:val="0"/>
          <w:bCs w:val="0"/>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1918" w:leftChars="304" w:hanging="1280" w:hangingChars="400"/>
        <w:jc w:val="both"/>
        <w:textAlignment w:val="auto"/>
        <w:rPr>
          <w:rFonts w:hint="default" w:ascii="Times New Roman" w:hAnsi="Times New Roman" w:eastAsia="仿宋" w:cs="Times New Roman"/>
          <w:b w:val="0"/>
          <w:bCs w:val="0"/>
          <w:color w:val="auto"/>
          <w:sz w:val="32"/>
          <w:szCs w:val="32"/>
          <w:highlight w:val="none"/>
          <w:lang w:eastAsia="zh-Hans"/>
        </w:rPr>
      </w:pPr>
      <w:r>
        <w:rPr>
          <w:rFonts w:hint="default" w:ascii="Times New Roman" w:hAnsi="Times New Roman" w:eastAsia="仿宋" w:cs="Times New Roman"/>
          <w:b w:val="0"/>
          <w:bCs w:val="0"/>
          <w:color w:val="auto"/>
          <w:sz w:val="32"/>
          <w:szCs w:val="32"/>
          <w:highlight w:val="none"/>
          <w:lang w:val="en-US" w:eastAsia="zh-Hans"/>
        </w:rPr>
        <w:t>附件</w:t>
      </w:r>
      <w:r>
        <w:rPr>
          <w:rFonts w:hint="default" w:ascii="Times New Roman" w:hAnsi="Times New Roman" w:eastAsia="仿宋" w:cs="Times New Roman"/>
          <w:b w:val="0"/>
          <w:bCs w:val="0"/>
          <w:color w:val="auto"/>
          <w:sz w:val="32"/>
          <w:szCs w:val="32"/>
          <w:highlight w:val="none"/>
          <w:lang w:val="en-US" w:eastAsia="zh-CN"/>
        </w:rPr>
        <w:t>：</w:t>
      </w:r>
      <w:r>
        <w:rPr>
          <w:rFonts w:hint="default" w:ascii="Times New Roman" w:hAnsi="Times New Roman" w:eastAsia="仿宋" w:cs="Times New Roman"/>
          <w:b w:val="0"/>
          <w:bCs w:val="0"/>
          <w:color w:val="auto"/>
          <w:sz w:val="32"/>
          <w:szCs w:val="32"/>
          <w:highlight w:val="none"/>
          <w:lang w:eastAsia="zh-Hans"/>
        </w:rPr>
        <w:t>《</w:t>
      </w:r>
      <w:r>
        <w:rPr>
          <w:rFonts w:hint="eastAsia" w:ascii="仿宋" w:hAnsi="仿宋" w:eastAsia="仿宋" w:cs="仿宋"/>
          <w:color w:val="auto"/>
          <w:sz w:val="32"/>
          <w:szCs w:val="32"/>
          <w:highlight w:val="none"/>
          <w:lang w:val="en-US" w:eastAsia="zh-CN"/>
        </w:rPr>
        <w:t>湖南省区域性股权市场专精特新专板业务管理规则</w:t>
      </w:r>
      <w:r>
        <w:rPr>
          <w:rFonts w:hint="default" w:ascii="Times New Roman" w:hAnsi="Times New Roman" w:eastAsia="仿宋" w:cs="Times New Roman"/>
          <w:b w:val="0"/>
          <w:bCs w:val="0"/>
          <w:color w:val="auto"/>
          <w:sz w:val="32"/>
          <w:szCs w:val="32"/>
          <w:highlight w:val="none"/>
          <w:lang w:eastAsia="zh-Hans"/>
        </w:rPr>
        <w:t>》</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 w:cs="Times New Roman"/>
          <w:b w:val="0"/>
          <w:bCs w:val="0"/>
          <w:color w:val="auto"/>
          <w:sz w:val="32"/>
          <w:szCs w:val="32"/>
          <w:highlight w:val="none"/>
          <w:lang w:val="en-US" w:eastAsia="zh-Hans"/>
        </w:rPr>
      </w:pPr>
      <w:bookmarkStart w:id="1" w:name="_GoBack"/>
      <w:bookmarkEnd w:id="1"/>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 w:cs="Times New Roman"/>
          <w:b w:val="0"/>
          <w:bCs w:val="0"/>
          <w:color w:val="auto"/>
          <w:sz w:val="32"/>
          <w:szCs w:val="32"/>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left"/>
        <w:textAlignment w:val="auto"/>
        <w:rPr>
          <w:rFonts w:hint="default" w:ascii="Times New Roman" w:hAnsi="Times New Roman" w:eastAsia="仿宋" w:cs="Times New Roman"/>
          <w:b w:val="0"/>
          <w:bCs w:val="0"/>
          <w:color w:val="auto"/>
          <w:sz w:val="32"/>
          <w:szCs w:val="32"/>
          <w:highlight w:val="none"/>
          <w:lang w:val="en-US" w:eastAsia="zh-CN"/>
        </w:rPr>
      </w:pPr>
      <w:r>
        <w:rPr>
          <w:rFonts w:hint="default" w:ascii="Times New Roman" w:hAnsi="Times New Roman" w:eastAsia="仿宋" w:cs="Times New Roman"/>
          <w:b w:val="0"/>
          <w:bCs w:val="0"/>
          <w:color w:val="auto"/>
          <w:sz w:val="32"/>
          <w:szCs w:val="32"/>
          <w:highlight w:val="none"/>
          <w:lang w:val="en-US" w:eastAsia="zh-Hans"/>
        </w:rPr>
        <w:t>湖南股权交易所</w:t>
      </w:r>
      <w:r>
        <w:rPr>
          <w:rFonts w:hint="default" w:ascii="Times New Roman" w:hAnsi="Times New Roman" w:eastAsia="仿宋" w:cs="Times New Roman"/>
          <w:b w:val="0"/>
          <w:bCs w:val="0"/>
          <w:color w:val="auto"/>
          <w:sz w:val="32"/>
          <w:szCs w:val="32"/>
          <w:highlight w:val="none"/>
          <w:lang w:val="en-US" w:eastAsia="zh-CN"/>
        </w:rPr>
        <w:t>有限公司</w:t>
      </w:r>
    </w:p>
    <w:p>
      <w:pPr>
        <w:keepNext w:val="0"/>
        <w:keepLines w:val="0"/>
        <w:pageBreakBefore w:val="0"/>
        <w:widowControl w:val="0"/>
        <w:kinsoku/>
        <w:wordWrap/>
        <w:overflowPunct/>
        <w:topLinePunct w:val="0"/>
        <w:autoSpaceDE/>
        <w:autoSpaceDN/>
        <w:bidi w:val="0"/>
        <w:adjustRightInd/>
        <w:snapToGrid/>
        <w:spacing w:line="560" w:lineRule="exact"/>
        <w:ind w:firstLine="5120" w:firstLineChars="1600"/>
        <w:jc w:val="left"/>
        <w:textAlignment w:val="auto"/>
        <w:rPr>
          <w:rFonts w:hint="default" w:ascii="Times New Roman" w:hAnsi="Times New Roman" w:eastAsia="仿宋" w:cs="Times New Roman"/>
          <w:b w:val="0"/>
          <w:bCs w:val="0"/>
          <w:color w:val="auto"/>
          <w:sz w:val="32"/>
          <w:szCs w:val="32"/>
          <w:highlight w:val="none"/>
          <w:lang w:val="en-US" w:eastAsia="zh-Hans"/>
        </w:rPr>
        <w:sectPr>
          <w:pgSz w:w="11906" w:h="16838"/>
          <w:pgMar w:top="1440" w:right="1800" w:bottom="1440" w:left="1800" w:header="851" w:footer="992" w:gutter="0"/>
          <w:pgNumType w:fmt="numberInDash"/>
          <w:cols w:space="720" w:num="1"/>
          <w:docGrid w:type="lines" w:linePitch="312" w:charSpace="0"/>
        </w:sectPr>
      </w:pPr>
      <w:r>
        <w:rPr>
          <w:rFonts w:hint="default" w:ascii="Times New Roman" w:hAnsi="Times New Roman" w:eastAsia="仿宋" w:cs="Times New Roman"/>
          <w:b w:val="0"/>
          <w:bCs w:val="0"/>
          <w:color w:val="auto"/>
          <w:sz w:val="32"/>
          <w:szCs w:val="32"/>
          <w:highlight w:val="none"/>
          <w:lang w:eastAsia="zh-Hans"/>
        </w:rPr>
        <w:t>202</w:t>
      </w:r>
      <w:r>
        <w:rPr>
          <w:rFonts w:hint="eastAsia" w:ascii="Times New Roman" w:hAnsi="Times New Roman" w:eastAsia="仿宋" w:cs="Times New Roman"/>
          <w:b w:val="0"/>
          <w:bCs w:val="0"/>
          <w:color w:val="auto"/>
          <w:sz w:val="32"/>
          <w:szCs w:val="32"/>
          <w:highlight w:val="none"/>
          <w:lang w:val="en-US" w:eastAsia="zh-CN"/>
        </w:rPr>
        <w:t>4</w:t>
      </w:r>
      <w:r>
        <w:rPr>
          <w:rFonts w:hint="default" w:ascii="Times New Roman" w:hAnsi="Times New Roman" w:eastAsia="仿宋" w:cs="Times New Roman"/>
          <w:b w:val="0"/>
          <w:bCs w:val="0"/>
          <w:color w:val="auto"/>
          <w:sz w:val="32"/>
          <w:szCs w:val="32"/>
          <w:highlight w:val="none"/>
          <w:lang w:val="en-US" w:eastAsia="zh-Hans"/>
        </w:rPr>
        <w:t>年</w:t>
      </w:r>
      <w:r>
        <w:rPr>
          <w:rFonts w:hint="eastAsia" w:ascii="Times New Roman" w:hAnsi="Times New Roman" w:eastAsia="仿宋" w:cs="Times New Roman"/>
          <w:b w:val="0"/>
          <w:bCs w:val="0"/>
          <w:color w:val="auto"/>
          <w:sz w:val="32"/>
          <w:szCs w:val="32"/>
          <w:highlight w:val="none"/>
          <w:lang w:val="en-US" w:eastAsia="zh-CN"/>
        </w:rPr>
        <w:t>7</w:t>
      </w:r>
      <w:r>
        <w:rPr>
          <w:rFonts w:hint="default" w:ascii="Times New Roman" w:hAnsi="Times New Roman" w:eastAsia="仿宋" w:cs="Times New Roman"/>
          <w:b w:val="0"/>
          <w:bCs w:val="0"/>
          <w:color w:val="auto"/>
          <w:sz w:val="32"/>
          <w:szCs w:val="32"/>
          <w:highlight w:val="none"/>
          <w:lang w:val="en-US" w:eastAsia="zh-Hans"/>
        </w:rPr>
        <w:t>月</w:t>
      </w:r>
      <w:r>
        <w:rPr>
          <w:rFonts w:hint="eastAsia" w:ascii="Times New Roman" w:hAnsi="Times New Roman" w:eastAsia="仿宋" w:cs="Times New Roman"/>
          <w:b w:val="0"/>
          <w:bCs w:val="0"/>
          <w:color w:val="auto"/>
          <w:sz w:val="32"/>
          <w:szCs w:val="32"/>
          <w:highlight w:val="none"/>
          <w:lang w:val="en-US" w:eastAsia="zh-CN"/>
        </w:rPr>
        <w:t>9日</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color w:val="auto"/>
          <w:sz w:val="32"/>
          <w:szCs w:val="32"/>
          <w:highlight w:val="none"/>
        </w:rPr>
      </w:pPr>
      <w:r>
        <w:rPr>
          <w:rFonts w:hint="eastAsia" w:ascii="仿宋" w:hAnsi="仿宋" w:eastAsia="仿宋" w:cs="仿宋"/>
          <w:color w:val="auto"/>
          <w:sz w:val="32"/>
          <w:szCs w:val="32"/>
          <w:highlight w:val="none"/>
        </w:rPr>
        <w:t>附件</w:t>
      </w:r>
    </w:p>
    <w:p>
      <w:pPr>
        <w:spacing w:line="560" w:lineRule="exact"/>
        <w:jc w:val="left"/>
        <w:rPr>
          <w:rFonts w:ascii="宋体" w:hAnsi="宋体" w:eastAsia="宋体"/>
          <w:b/>
          <w:sz w:val="44"/>
          <w:szCs w:val="44"/>
        </w:rPr>
      </w:pPr>
    </w:p>
    <w:p>
      <w:pPr>
        <w:spacing w:line="560" w:lineRule="exact"/>
        <w:jc w:val="both"/>
        <w:rPr>
          <w:rFonts w:ascii="宋体" w:hAnsi="宋体" w:eastAsia="宋体"/>
          <w:b/>
          <w:sz w:val="44"/>
          <w:szCs w:val="44"/>
        </w:rPr>
      </w:pPr>
    </w:p>
    <w:p>
      <w:pPr>
        <w:spacing w:line="560" w:lineRule="exact"/>
        <w:jc w:val="center"/>
        <w:rPr>
          <w:rFonts w:ascii="宋体" w:hAnsi="宋体" w:eastAsia="宋体"/>
          <w:b/>
          <w:sz w:val="44"/>
          <w:szCs w:val="44"/>
        </w:rPr>
      </w:pPr>
    </w:p>
    <w:p>
      <w:pPr>
        <w:spacing w:line="560" w:lineRule="exact"/>
        <w:jc w:val="center"/>
        <w:rPr>
          <w:rFonts w:ascii="宋体" w:hAnsi="宋体" w:eastAsia="宋体"/>
          <w:b/>
          <w:sz w:val="44"/>
          <w:szCs w:val="44"/>
        </w:rPr>
      </w:pPr>
    </w:p>
    <w:p>
      <w:pPr>
        <w:spacing w:line="560" w:lineRule="exact"/>
        <w:jc w:val="center"/>
        <w:rPr>
          <w:rFonts w:ascii="宋体" w:hAnsi="宋体" w:eastAsia="宋体"/>
          <w:b/>
          <w:sz w:val="44"/>
          <w:szCs w:val="44"/>
        </w:rPr>
      </w:pPr>
    </w:p>
    <w:p>
      <w:pPr>
        <w:spacing w:line="560" w:lineRule="exact"/>
        <w:jc w:val="center"/>
        <w:rPr>
          <w:rFonts w:ascii="宋体" w:hAnsi="宋体" w:eastAsia="宋体"/>
          <w:b/>
          <w:sz w:val="44"/>
          <w:szCs w:val="44"/>
        </w:rPr>
      </w:pPr>
      <w:r>
        <w:rPr>
          <w:rFonts w:hint="eastAsia" w:ascii="宋体" w:hAnsi="宋体" w:eastAsia="宋体"/>
          <w:b/>
          <w:sz w:val="44"/>
          <w:szCs w:val="44"/>
        </w:rPr>
        <w:t>湖南省区域性股权市场</w:t>
      </w:r>
    </w:p>
    <w:p>
      <w:pPr>
        <w:spacing w:line="560" w:lineRule="exact"/>
        <w:jc w:val="center"/>
        <w:rPr>
          <w:rFonts w:ascii="宋体" w:hAnsi="宋体" w:eastAsia="宋体"/>
          <w:b/>
          <w:sz w:val="44"/>
          <w:szCs w:val="44"/>
        </w:rPr>
      </w:pPr>
      <w:r>
        <w:rPr>
          <w:rFonts w:hint="eastAsia" w:ascii="宋体" w:hAnsi="宋体" w:eastAsia="宋体"/>
          <w:b/>
          <w:sz w:val="44"/>
          <w:szCs w:val="44"/>
        </w:rPr>
        <w:t>专精特新专板业务管理规则</w:t>
      </w:r>
    </w:p>
    <w:p>
      <w:pPr>
        <w:spacing w:line="560" w:lineRule="exact"/>
        <w:jc w:val="center"/>
        <w:rPr>
          <w:rFonts w:ascii="黑体" w:hAnsi="黑体" w:eastAsia="黑体"/>
          <w:sz w:val="36"/>
          <w:szCs w:val="36"/>
        </w:rPr>
      </w:pPr>
    </w:p>
    <w:p>
      <w:pPr>
        <w:spacing w:line="560" w:lineRule="exact"/>
        <w:jc w:val="center"/>
        <w:rPr>
          <w:rFonts w:ascii="黑体" w:hAnsi="黑体" w:eastAsia="黑体"/>
          <w:sz w:val="36"/>
          <w:szCs w:val="36"/>
        </w:rPr>
      </w:pPr>
      <w:r>
        <w:rPr>
          <w:rFonts w:hint="eastAsia" w:ascii="仿宋" w:hAnsi="仿宋" w:eastAsia="仿宋" w:cs="仿宋"/>
          <w:sz w:val="30"/>
          <w:szCs w:val="30"/>
        </w:rPr>
        <w:t>2024年</w:t>
      </w:r>
      <w:r>
        <w:rPr>
          <w:rFonts w:hint="eastAsia" w:ascii="仿宋" w:hAnsi="仿宋" w:eastAsia="仿宋" w:cs="仿宋"/>
          <w:sz w:val="30"/>
          <w:szCs w:val="30"/>
          <w:lang w:val="en-US" w:eastAsia="zh-CN"/>
        </w:rPr>
        <w:t>6</w:t>
      </w:r>
      <w:r>
        <w:rPr>
          <w:rFonts w:hint="eastAsia" w:ascii="仿宋" w:hAnsi="仿宋" w:eastAsia="仿宋" w:cs="仿宋"/>
          <w:sz w:val="30"/>
          <w:szCs w:val="30"/>
        </w:rPr>
        <w:t>月修订</w:t>
      </w:r>
    </w:p>
    <w:p>
      <w:pPr>
        <w:spacing w:line="560" w:lineRule="exact"/>
        <w:jc w:val="center"/>
        <w:rPr>
          <w:rFonts w:ascii="黑体" w:hAnsi="黑体" w:eastAsia="黑体"/>
          <w:sz w:val="36"/>
          <w:szCs w:val="36"/>
        </w:rPr>
      </w:pPr>
    </w:p>
    <w:p>
      <w:pPr>
        <w:spacing w:line="560" w:lineRule="exact"/>
        <w:jc w:val="center"/>
        <w:rPr>
          <w:rFonts w:ascii="黑体" w:hAnsi="黑体" w:eastAsia="黑体"/>
          <w:sz w:val="36"/>
          <w:szCs w:val="36"/>
        </w:rPr>
      </w:pPr>
    </w:p>
    <w:p>
      <w:pPr>
        <w:spacing w:line="560" w:lineRule="exact"/>
        <w:jc w:val="center"/>
        <w:rPr>
          <w:rFonts w:ascii="黑体" w:hAnsi="黑体" w:eastAsia="黑体"/>
          <w:sz w:val="36"/>
          <w:szCs w:val="36"/>
        </w:rPr>
      </w:pPr>
    </w:p>
    <w:p>
      <w:pPr>
        <w:spacing w:line="560" w:lineRule="exact"/>
        <w:jc w:val="center"/>
        <w:rPr>
          <w:rFonts w:ascii="黑体" w:hAnsi="黑体" w:eastAsia="黑体"/>
          <w:sz w:val="36"/>
          <w:szCs w:val="36"/>
        </w:rPr>
      </w:pPr>
    </w:p>
    <w:p>
      <w:pPr>
        <w:spacing w:line="560" w:lineRule="exact"/>
        <w:jc w:val="center"/>
        <w:rPr>
          <w:rFonts w:ascii="黑体" w:hAnsi="黑体" w:eastAsia="黑体"/>
          <w:sz w:val="36"/>
          <w:szCs w:val="36"/>
        </w:rPr>
      </w:pPr>
    </w:p>
    <w:p>
      <w:pPr>
        <w:spacing w:line="560" w:lineRule="exact"/>
        <w:jc w:val="center"/>
        <w:rPr>
          <w:rFonts w:ascii="黑体" w:hAnsi="黑体" w:eastAsia="黑体"/>
          <w:sz w:val="36"/>
          <w:szCs w:val="36"/>
        </w:rPr>
      </w:pPr>
    </w:p>
    <w:p>
      <w:pPr>
        <w:spacing w:line="560" w:lineRule="exact"/>
        <w:rPr>
          <w:rFonts w:ascii="黑体" w:hAnsi="黑体" w:eastAsia="黑体"/>
          <w:sz w:val="32"/>
          <w:szCs w:val="32"/>
        </w:rPr>
      </w:pPr>
    </w:p>
    <w:p>
      <w:pPr>
        <w:spacing w:line="560" w:lineRule="exact"/>
        <w:jc w:val="center"/>
        <w:rPr>
          <w:rFonts w:ascii="黑体" w:hAnsi="黑体" w:eastAsia="黑体"/>
          <w:sz w:val="32"/>
          <w:szCs w:val="32"/>
        </w:rPr>
      </w:pPr>
    </w:p>
    <w:p>
      <w:pPr>
        <w:spacing w:line="560" w:lineRule="exact"/>
        <w:jc w:val="center"/>
        <w:rPr>
          <w:rFonts w:ascii="宋体" w:hAnsi="宋体" w:eastAsia="宋体"/>
          <w:b/>
          <w:sz w:val="44"/>
          <w:szCs w:val="44"/>
        </w:rPr>
        <w:sectPr>
          <w:footerReference r:id="rId3" w:type="default"/>
          <w:pgSz w:w="11906" w:h="16838"/>
          <w:pgMar w:top="1440" w:right="1800" w:bottom="1440" w:left="1800" w:header="851" w:footer="992" w:gutter="0"/>
          <w:cols w:space="425" w:num="1"/>
          <w:docGrid w:type="lines" w:linePitch="312" w:charSpace="0"/>
        </w:sectPr>
      </w:pPr>
    </w:p>
    <w:p>
      <w:pPr>
        <w:spacing w:line="560" w:lineRule="exact"/>
        <w:jc w:val="center"/>
        <w:rPr>
          <w:rFonts w:ascii="宋体" w:hAnsi="宋体" w:eastAsia="宋体"/>
          <w:b/>
          <w:sz w:val="44"/>
          <w:szCs w:val="44"/>
        </w:rPr>
      </w:pPr>
      <w:r>
        <w:rPr>
          <w:rFonts w:hint="eastAsia" w:ascii="宋体" w:hAnsi="宋体" w:eastAsia="宋体"/>
          <w:b/>
          <w:sz w:val="44"/>
          <w:szCs w:val="44"/>
        </w:rPr>
        <w:t>目</w:t>
      </w:r>
      <w:r>
        <w:rPr>
          <w:rFonts w:ascii="宋体" w:hAnsi="宋体" w:eastAsia="宋体"/>
          <w:b/>
          <w:sz w:val="44"/>
          <w:szCs w:val="44"/>
        </w:rPr>
        <w:t xml:space="preserve">  </w:t>
      </w:r>
      <w:r>
        <w:rPr>
          <w:rFonts w:hint="eastAsia" w:ascii="宋体" w:hAnsi="宋体" w:eastAsia="宋体"/>
          <w:b/>
          <w:sz w:val="44"/>
          <w:szCs w:val="44"/>
        </w:rPr>
        <w:t>录</w:t>
      </w:r>
    </w:p>
    <w:p>
      <w:pPr>
        <w:spacing w:line="560" w:lineRule="exact"/>
        <w:rPr>
          <w:rFonts w:ascii="仿宋" w:hAnsi="仿宋" w:eastAsia="仿宋"/>
          <w:sz w:val="30"/>
          <w:szCs w:val="30"/>
        </w:rPr>
      </w:pPr>
      <w:r>
        <w:rPr>
          <w:rFonts w:ascii="仿宋" w:hAnsi="仿宋" w:eastAsia="仿宋"/>
          <w:sz w:val="30"/>
          <w:szCs w:val="30"/>
        </w:rPr>
        <w:t xml:space="preserve"> </w:t>
      </w:r>
    </w:p>
    <w:p>
      <w:pPr>
        <w:spacing w:line="560" w:lineRule="exact"/>
        <w:rPr>
          <w:rFonts w:ascii="仿宋" w:hAnsi="仿宋" w:eastAsia="仿宋"/>
          <w:sz w:val="30"/>
          <w:szCs w:val="30"/>
        </w:rPr>
      </w:pPr>
      <w:r>
        <w:rPr>
          <w:rFonts w:hint="eastAsia" w:ascii="仿宋" w:hAnsi="仿宋" w:eastAsia="仿宋"/>
          <w:sz w:val="30"/>
          <w:szCs w:val="30"/>
        </w:rPr>
        <w:t>第一章</w:t>
      </w:r>
      <w:r>
        <w:rPr>
          <w:rFonts w:ascii="仿宋" w:hAnsi="仿宋" w:eastAsia="仿宋"/>
          <w:sz w:val="30"/>
          <w:szCs w:val="30"/>
        </w:rPr>
        <w:t xml:space="preserve"> </w:t>
      </w:r>
      <w:r>
        <w:rPr>
          <w:rFonts w:hint="eastAsia" w:ascii="仿宋" w:hAnsi="仿宋" w:eastAsia="仿宋"/>
          <w:sz w:val="30"/>
          <w:szCs w:val="30"/>
        </w:rPr>
        <w:t>总</w:t>
      </w:r>
      <w:r>
        <w:rPr>
          <w:rFonts w:ascii="仿宋" w:hAnsi="仿宋" w:eastAsia="仿宋"/>
          <w:sz w:val="30"/>
          <w:szCs w:val="30"/>
        </w:rPr>
        <w:t xml:space="preserve"> </w:t>
      </w:r>
      <w:r>
        <w:rPr>
          <w:rFonts w:hint="eastAsia" w:ascii="仿宋" w:hAnsi="仿宋" w:eastAsia="仿宋"/>
          <w:sz w:val="30"/>
          <w:szCs w:val="30"/>
        </w:rPr>
        <w:t>则</w:t>
      </w:r>
      <w:r>
        <w:rPr>
          <w:rFonts w:ascii="仿宋" w:hAnsi="仿宋" w:eastAsia="仿宋"/>
          <w:sz w:val="30"/>
          <w:szCs w:val="30"/>
        </w:rPr>
        <w:t xml:space="preserve"> ..................................... 2 </w:t>
      </w:r>
    </w:p>
    <w:p>
      <w:pPr>
        <w:spacing w:line="560" w:lineRule="exact"/>
        <w:rPr>
          <w:rFonts w:ascii="仿宋" w:hAnsi="仿宋" w:eastAsia="仿宋"/>
          <w:sz w:val="30"/>
          <w:szCs w:val="30"/>
        </w:rPr>
      </w:pPr>
      <w:r>
        <w:rPr>
          <w:rFonts w:hint="eastAsia" w:ascii="仿宋" w:hAnsi="仿宋" w:eastAsia="仿宋"/>
          <w:sz w:val="30"/>
          <w:szCs w:val="30"/>
        </w:rPr>
        <w:t>第二章</w:t>
      </w:r>
      <w:r>
        <w:rPr>
          <w:rFonts w:ascii="仿宋" w:hAnsi="仿宋" w:eastAsia="仿宋"/>
          <w:sz w:val="30"/>
          <w:szCs w:val="30"/>
        </w:rPr>
        <w:t xml:space="preserve"> </w:t>
      </w:r>
      <w:r>
        <w:rPr>
          <w:rFonts w:hint="eastAsia" w:ascii="仿宋" w:hAnsi="仿宋" w:eastAsia="仿宋"/>
          <w:sz w:val="30"/>
          <w:szCs w:val="30"/>
        </w:rPr>
        <w:t>挂牌申请与审核流程</w:t>
      </w:r>
      <w:r>
        <w:rPr>
          <w:rFonts w:ascii="仿宋" w:hAnsi="仿宋" w:eastAsia="仿宋"/>
          <w:sz w:val="30"/>
          <w:szCs w:val="30"/>
        </w:rPr>
        <w:t xml:space="preserve"> ........................ 2</w:t>
      </w:r>
    </w:p>
    <w:p>
      <w:pPr>
        <w:spacing w:line="560" w:lineRule="exact"/>
        <w:rPr>
          <w:rFonts w:ascii="仿宋" w:hAnsi="仿宋" w:eastAsia="仿宋"/>
          <w:sz w:val="30"/>
          <w:szCs w:val="30"/>
        </w:rPr>
      </w:pPr>
      <w:r>
        <w:rPr>
          <w:rFonts w:hint="eastAsia" w:ascii="仿宋" w:hAnsi="仿宋" w:eastAsia="仿宋"/>
          <w:sz w:val="30"/>
          <w:szCs w:val="30"/>
        </w:rPr>
        <w:t>第三章</w:t>
      </w:r>
      <w:r>
        <w:rPr>
          <w:rFonts w:ascii="仿宋" w:hAnsi="仿宋" w:eastAsia="仿宋"/>
          <w:sz w:val="30"/>
          <w:szCs w:val="30"/>
        </w:rPr>
        <w:t xml:space="preserve"> </w:t>
      </w:r>
      <w:r>
        <w:rPr>
          <w:rFonts w:hint="eastAsia" w:ascii="仿宋" w:hAnsi="仿宋" w:eastAsia="仿宋"/>
          <w:sz w:val="30"/>
          <w:szCs w:val="30"/>
        </w:rPr>
        <w:t>信息披露</w:t>
      </w:r>
      <w:r>
        <w:rPr>
          <w:rFonts w:ascii="仿宋" w:hAnsi="仿宋" w:eastAsia="仿宋"/>
          <w:sz w:val="30"/>
          <w:szCs w:val="30"/>
        </w:rPr>
        <w:t>....................................</w:t>
      </w:r>
      <w:r>
        <w:rPr>
          <w:rFonts w:hint="eastAsia" w:ascii="仿宋" w:hAnsi="仿宋" w:eastAsia="仿宋"/>
          <w:sz w:val="30"/>
          <w:szCs w:val="30"/>
        </w:rPr>
        <w:t>6</w:t>
      </w:r>
      <w:r>
        <w:rPr>
          <w:rFonts w:ascii="仿宋" w:hAnsi="仿宋" w:eastAsia="仿宋"/>
          <w:sz w:val="30"/>
          <w:szCs w:val="30"/>
        </w:rPr>
        <w:t xml:space="preserve"> </w:t>
      </w:r>
    </w:p>
    <w:p>
      <w:pPr>
        <w:spacing w:line="560" w:lineRule="exact"/>
        <w:rPr>
          <w:rFonts w:ascii="仿宋" w:hAnsi="仿宋" w:eastAsia="仿宋"/>
          <w:sz w:val="30"/>
          <w:szCs w:val="30"/>
        </w:rPr>
      </w:pPr>
      <w:r>
        <w:rPr>
          <w:rFonts w:hint="eastAsia" w:ascii="仿宋" w:hAnsi="仿宋" w:eastAsia="仿宋"/>
          <w:sz w:val="30"/>
          <w:szCs w:val="30"/>
        </w:rPr>
        <w:t>第四章</w:t>
      </w:r>
      <w:r>
        <w:rPr>
          <w:rFonts w:ascii="仿宋" w:hAnsi="仿宋" w:eastAsia="仿宋"/>
          <w:sz w:val="30"/>
          <w:szCs w:val="30"/>
        </w:rPr>
        <w:t xml:space="preserve"> </w:t>
      </w:r>
      <w:r>
        <w:rPr>
          <w:rFonts w:hint="eastAsia" w:ascii="仿宋" w:hAnsi="仿宋" w:eastAsia="仿宋"/>
          <w:sz w:val="30"/>
          <w:szCs w:val="30"/>
        </w:rPr>
        <w:t>相关服务</w:t>
      </w:r>
      <w:r>
        <w:rPr>
          <w:rFonts w:ascii="仿宋" w:hAnsi="仿宋" w:eastAsia="仿宋"/>
          <w:sz w:val="30"/>
          <w:szCs w:val="30"/>
        </w:rPr>
        <w:t xml:space="preserve"> ...................................</w:t>
      </w:r>
      <w:r>
        <w:rPr>
          <w:rFonts w:hint="eastAsia" w:ascii="仿宋" w:hAnsi="仿宋" w:eastAsia="仿宋"/>
          <w:sz w:val="30"/>
          <w:szCs w:val="30"/>
        </w:rPr>
        <w:t>7</w:t>
      </w:r>
    </w:p>
    <w:p>
      <w:pPr>
        <w:spacing w:line="560" w:lineRule="exact"/>
        <w:rPr>
          <w:rFonts w:ascii="仿宋" w:hAnsi="仿宋" w:eastAsia="仿宋"/>
          <w:sz w:val="30"/>
          <w:szCs w:val="30"/>
        </w:rPr>
      </w:pPr>
      <w:r>
        <w:rPr>
          <w:rFonts w:hint="eastAsia" w:ascii="仿宋" w:hAnsi="仿宋" w:eastAsia="仿宋"/>
          <w:sz w:val="30"/>
          <w:szCs w:val="30"/>
        </w:rPr>
        <w:t>第五章</w:t>
      </w:r>
      <w:r>
        <w:rPr>
          <w:rFonts w:ascii="仿宋" w:hAnsi="仿宋" w:eastAsia="仿宋"/>
          <w:sz w:val="30"/>
          <w:szCs w:val="30"/>
        </w:rPr>
        <w:t xml:space="preserve"> </w:t>
      </w:r>
      <w:r>
        <w:rPr>
          <w:rFonts w:hint="eastAsia" w:ascii="仿宋" w:hAnsi="仿宋" w:eastAsia="仿宋"/>
          <w:sz w:val="30"/>
          <w:szCs w:val="30"/>
        </w:rPr>
        <w:t>管</w:t>
      </w:r>
      <w:r>
        <w:rPr>
          <w:rFonts w:ascii="仿宋" w:hAnsi="仿宋" w:eastAsia="仿宋"/>
          <w:sz w:val="30"/>
          <w:szCs w:val="30"/>
        </w:rPr>
        <w:t xml:space="preserve"> </w:t>
      </w:r>
      <w:r>
        <w:rPr>
          <w:rFonts w:hint="eastAsia" w:ascii="仿宋" w:hAnsi="仿宋" w:eastAsia="仿宋"/>
          <w:sz w:val="30"/>
          <w:szCs w:val="30"/>
        </w:rPr>
        <w:t>理</w:t>
      </w:r>
      <w:r>
        <w:rPr>
          <w:rFonts w:ascii="仿宋" w:hAnsi="仿宋" w:eastAsia="仿宋"/>
          <w:sz w:val="30"/>
          <w:szCs w:val="30"/>
        </w:rPr>
        <w:t xml:space="preserve"> ..................................... </w:t>
      </w:r>
      <w:r>
        <w:rPr>
          <w:rFonts w:hint="eastAsia" w:ascii="仿宋" w:hAnsi="仿宋" w:eastAsia="仿宋"/>
          <w:sz w:val="30"/>
          <w:szCs w:val="30"/>
        </w:rPr>
        <w:t>7</w:t>
      </w:r>
    </w:p>
    <w:p>
      <w:pPr>
        <w:spacing w:line="560" w:lineRule="exact"/>
        <w:rPr>
          <w:rFonts w:ascii="仿宋" w:hAnsi="仿宋" w:eastAsia="仿宋"/>
          <w:sz w:val="30"/>
          <w:szCs w:val="30"/>
        </w:rPr>
      </w:pPr>
      <w:r>
        <w:rPr>
          <w:rFonts w:hint="eastAsia" w:ascii="仿宋" w:hAnsi="仿宋" w:eastAsia="仿宋"/>
          <w:sz w:val="30"/>
          <w:szCs w:val="30"/>
        </w:rPr>
        <w:t>第六章</w:t>
      </w:r>
      <w:r>
        <w:rPr>
          <w:rFonts w:ascii="仿宋" w:hAnsi="仿宋" w:eastAsia="仿宋"/>
          <w:sz w:val="30"/>
          <w:szCs w:val="30"/>
        </w:rPr>
        <w:t xml:space="preserve"> </w:t>
      </w:r>
      <w:r>
        <w:rPr>
          <w:rFonts w:hint="eastAsia" w:ascii="仿宋" w:hAnsi="仿宋" w:eastAsia="仿宋"/>
          <w:sz w:val="30"/>
          <w:szCs w:val="30"/>
        </w:rPr>
        <w:t>附</w:t>
      </w:r>
      <w:r>
        <w:rPr>
          <w:rFonts w:ascii="仿宋" w:hAnsi="仿宋" w:eastAsia="仿宋"/>
          <w:sz w:val="30"/>
          <w:szCs w:val="30"/>
        </w:rPr>
        <w:t xml:space="preserve"> </w:t>
      </w:r>
      <w:r>
        <w:rPr>
          <w:rFonts w:hint="eastAsia" w:ascii="仿宋" w:hAnsi="仿宋" w:eastAsia="仿宋"/>
          <w:sz w:val="30"/>
          <w:szCs w:val="30"/>
        </w:rPr>
        <w:t>则</w:t>
      </w:r>
      <w:r>
        <w:rPr>
          <w:rFonts w:ascii="仿宋" w:hAnsi="仿宋" w:eastAsia="仿宋"/>
          <w:sz w:val="30"/>
          <w:szCs w:val="30"/>
        </w:rPr>
        <w:t xml:space="preserve"> ..................................... </w:t>
      </w:r>
      <w:r>
        <w:rPr>
          <w:rFonts w:hint="eastAsia" w:ascii="仿宋" w:hAnsi="仿宋" w:eastAsia="仿宋"/>
          <w:sz w:val="30"/>
          <w:szCs w:val="30"/>
        </w:rPr>
        <w:t>8</w:t>
      </w:r>
    </w:p>
    <w:p>
      <w:pPr>
        <w:spacing w:line="560" w:lineRule="exact"/>
        <w:rPr>
          <w:rFonts w:ascii="仿宋" w:hAnsi="仿宋" w:eastAsia="仿宋"/>
          <w:sz w:val="30"/>
          <w:szCs w:val="30"/>
        </w:rPr>
      </w:pPr>
      <w:r>
        <w:rPr>
          <w:rFonts w:ascii="仿宋" w:hAnsi="仿宋" w:eastAsia="仿宋"/>
          <w:sz w:val="30"/>
          <w:szCs w:val="30"/>
        </w:rPr>
        <w:br w:type="page"/>
      </w:r>
    </w:p>
    <w:p>
      <w:pPr>
        <w:spacing w:line="560" w:lineRule="exact"/>
        <w:jc w:val="center"/>
        <w:rPr>
          <w:rFonts w:ascii="仿宋" w:hAnsi="仿宋" w:eastAsia="仿宋" w:cs="仿宋"/>
          <w:b/>
          <w:sz w:val="30"/>
          <w:szCs w:val="30"/>
        </w:rPr>
      </w:pPr>
      <w:r>
        <w:rPr>
          <w:rFonts w:hint="eastAsia" w:ascii="仿宋" w:hAnsi="仿宋" w:eastAsia="仿宋" w:cs="仿宋"/>
          <w:b/>
          <w:sz w:val="30"/>
          <w:szCs w:val="30"/>
        </w:rPr>
        <w:t>第一章 总 则</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第一条</w:t>
      </w:r>
      <w:r>
        <w:rPr>
          <w:rFonts w:hint="eastAsia" w:ascii="仿宋" w:hAnsi="仿宋" w:eastAsia="仿宋" w:cs="仿宋"/>
          <w:sz w:val="30"/>
          <w:szCs w:val="30"/>
        </w:rPr>
        <w:t xml:space="preserve"> 为规范企业在湖南股权交易所（以下简称“湖南股交所”）“专精特新”专板进行挂牌、股权报价、股权转让等业务行为，根据《区域性股权市场监督管理试行办法》、《中国证监会办公厅工业和信息化部办公厅关于高质量建设区域性股权市场“专精特新”专板的指导意见》、《湖南股权交易所非上市公司股权挂牌交易管理办法》等规定，制定本规则。</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第二条</w:t>
      </w:r>
      <w:r>
        <w:rPr>
          <w:rFonts w:hint="eastAsia" w:ascii="仿宋" w:hAnsi="仿宋" w:eastAsia="仿宋" w:cs="仿宋"/>
          <w:sz w:val="30"/>
          <w:szCs w:val="30"/>
        </w:rPr>
        <w:t xml:space="preserve"> “专精特新”专板是为具有“专业化、精细化、特色化、新颖化”特征的专精特新企业提供专门服务，可享受专项政策的实体板块。</w:t>
      </w:r>
    </w:p>
    <w:p>
      <w:pPr>
        <w:spacing w:line="560" w:lineRule="exact"/>
        <w:ind w:firstLine="602" w:firstLineChars="200"/>
        <w:rPr>
          <w:rFonts w:ascii="仿宋" w:hAnsi="仿宋" w:eastAsia="仿宋" w:cs="仿宋"/>
          <w:b/>
          <w:sz w:val="30"/>
          <w:szCs w:val="30"/>
        </w:rPr>
      </w:pPr>
      <w:r>
        <w:rPr>
          <w:rFonts w:hint="eastAsia" w:ascii="仿宋" w:hAnsi="仿宋" w:eastAsia="仿宋" w:cs="仿宋"/>
          <w:b/>
          <w:sz w:val="30"/>
          <w:szCs w:val="30"/>
        </w:rPr>
        <w:t xml:space="preserve">第三条 </w:t>
      </w:r>
      <w:r>
        <w:rPr>
          <w:rFonts w:hint="eastAsia" w:ascii="仿宋" w:hAnsi="仿宋" w:eastAsia="仿宋" w:cs="仿宋"/>
          <w:sz w:val="30"/>
          <w:szCs w:val="30"/>
        </w:rPr>
        <w:t>“专精特新”专板实施动态分层管理体系，内设孵化层、规范层、培育层。企业可根据自身发展阶段、创新属性、经营情况、发展前景等情况，在满足对应层级要求的前提下，提出进层申请。湖南股交所对入板后的企业实行动态分层管理，企业可根据实际情况申请调层。</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 xml:space="preserve">第四条 </w:t>
      </w:r>
      <w:r>
        <w:rPr>
          <w:rFonts w:hint="eastAsia" w:ascii="仿宋" w:hAnsi="仿宋" w:eastAsia="仿宋" w:cs="仿宋"/>
          <w:sz w:val="30"/>
          <w:szCs w:val="30"/>
        </w:rPr>
        <w:t xml:space="preserve">湖南股交所对挂牌申报材料和信息披露内容进行完备性审核，不表明对挂牌申请人申请文件及所披露信息的真实性、准确性、完整性作出保证，也不表明对挂牌申请人的投资价值或者投资者的收益作出实质性判断或者保证。 </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第五条</w:t>
      </w:r>
      <w:r>
        <w:rPr>
          <w:rFonts w:hint="eastAsia" w:ascii="仿宋" w:hAnsi="仿宋" w:eastAsia="仿宋" w:cs="仿宋"/>
          <w:sz w:val="30"/>
          <w:szCs w:val="30"/>
        </w:rPr>
        <w:t xml:space="preserve"> 挂牌公司、投资者及其他市场参与者等应遵循自愿、诚实信用原则，遵守本规则及湖南股交所其他有关业务规则的规定。 </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 xml:space="preserve"> </w:t>
      </w:r>
    </w:p>
    <w:p>
      <w:pPr>
        <w:spacing w:line="560" w:lineRule="exact"/>
        <w:jc w:val="center"/>
        <w:rPr>
          <w:rFonts w:ascii="仿宋" w:hAnsi="仿宋" w:eastAsia="仿宋" w:cs="仿宋"/>
          <w:b/>
          <w:sz w:val="30"/>
          <w:szCs w:val="30"/>
        </w:rPr>
      </w:pPr>
      <w:r>
        <w:rPr>
          <w:rFonts w:hint="eastAsia" w:ascii="仿宋" w:hAnsi="仿宋" w:eastAsia="仿宋" w:cs="仿宋"/>
          <w:b/>
          <w:sz w:val="30"/>
          <w:szCs w:val="30"/>
        </w:rPr>
        <w:t>第二章 挂牌申请与审核流程</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第六条</w:t>
      </w:r>
      <w:r>
        <w:rPr>
          <w:rFonts w:hint="eastAsia" w:ascii="仿宋" w:hAnsi="仿宋" w:eastAsia="仿宋" w:cs="仿宋"/>
          <w:sz w:val="30"/>
          <w:szCs w:val="30"/>
        </w:rPr>
        <w:t xml:space="preserve"> “专精特新”专板准入采取“挂牌条件+分层要求”方式。“挂牌条件”是指申请入板企业须满足的基本条件，“分层要求”是指企业在满足基础要求的前提下，申请进入对应层级还需满足的特定条件。</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第七条</w:t>
      </w:r>
      <w:r>
        <w:rPr>
          <w:rFonts w:hint="eastAsia" w:ascii="仿宋" w:hAnsi="仿宋" w:eastAsia="仿宋" w:cs="仿宋"/>
          <w:sz w:val="30"/>
          <w:szCs w:val="30"/>
        </w:rPr>
        <w:t xml:space="preserve"> 企业申请在湖南股交所“专精特新”专板挂牌，应当同时符合以下挂牌条件： </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（一）主体要件。</w:t>
      </w:r>
      <w:r>
        <w:rPr>
          <w:rFonts w:hint="eastAsia" w:ascii="仿宋" w:hAnsi="仿宋" w:eastAsia="仿宋" w:cs="仿宋"/>
          <w:sz w:val="30"/>
          <w:szCs w:val="30"/>
        </w:rPr>
        <w:t>符合以下条件之一：</w:t>
      </w:r>
    </w:p>
    <w:p>
      <w:pPr>
        <w:spacing w:line="560" w:lineRule="exact"/>
        <w:ind w:firstLine="900" w:firstLineChars="300"/>
        <w:rPr>
          <w:rFonts w:ascii="仿宋" w:hAnsi="仿宋" w:eastAsia="仿宋" w:cs="仿宋"/>
          <w:sz w:val="30"/>
          <w:szCs w:val="30"/>
        </w:rPr>
      </w:pPr>
      <w:r>
        <w:rPr>
          <w:rFonts w:hint="eastAsia" w:ascii="仿宋" w:hAnsi="仿宋" w:eastAsia="仿宋" w:cs="仿宋"/>
          <w:sz w:val="30"/>
          <w:szCs w:val="30"/>
        </w:rPr>
        <w:t>1、省级以上工业和信息化主管部门评价或认定的专精特新中小企业、专精特新“小巨人”企业；</w:t>
      </w:r>
    </w:p>
    <w:p>
      <w:pPr>
        <w:spacing w:line="560" w:lineRule="exact"/>
        <w:ind w:firstLine="900" w:firstLineChars="300"/>
        <w:rPr>
          <w:rFonts w:ascii="仿宋" w:hAnsi="仿宋" w:eastAsia="仿宋" w:cs="仿宋"/>
          <w:b/>
          <w:bCs/>
          <w:sz w:val="30"/>
          <w:szCs w:val="30"/>
        </w:rPr>
      </w:pPr>
      <w:r>
        <w:rPr>
          <w:rFonts w:hint="eastAsia" w:ascii="仿宋" w:hAnsi="仿宋" w:eastAsia="仿宋" w:cs="仿宋"/>
          <w:sz w:val="30"/>
          <w:szCs w:val="30"/>
        </w:rPr>
        <w:t>2、其他符合专精特新发展要求或具有相应潜力的企业。</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（二）企业性质。</w:t>
      </w:r>
      <w:r>
        <w:rPr>
          <w:rFonts w:hint="eastAsia" w:ascii="仿宋" w:hAnsi="仿宋" w:eastAsia="仿宋" w:cs="仿宋"/>
          <w:sz w:val="30"/>
          <w:szCs w:val="30"/>
        </w:rPr>
        <w:t>股份有限公司或有限责任公司。</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（三）业绩条件。</w:t>
      </w:r>
      <w:r>
        <w:rPr>
          <w:rFonts w:hint="eastAsia" w:ascii="仿宋" w:hAnsi="仿宋" w:eastAsia="仿宋" w:cs="仿宋"/>
          <w:sz w:val="30"/>
          <w:szCs w:val="30"/>
        </w:rPr>
        <w:t>符合以下4个条件之一：</w:t>
      </w:r>
    </w:p>
    <w:p>
      <w:pPr>
        <w:spacing w:line="560" w:lineRule="exact"/>
        <w:ind w:firstLine="900" w:firstLineChars="300"/>
        <w:rPr>
          <w:rFonts w:ascii="仿宋" w:hAnsi="仿宋" w:eastAsia="仿宋" w:cs="仿宋"/>
          <w:sz w:val="30"/>
          <w:szCs w:val="30"/>
        </w:rPr>
      </w:pPr>
      <w:r>
        <w:rPr>
          <w:rFonts w:hint="eastAsia" w:ascii="仿宋" w:hAnsi="仿宋" w:eastAsia="仿宋" w:cs="仿宋"/>
          <w:sz w:val="30"/>
          <w:szCs w:val="30"/>
        </w:rPr>
        <w:t>1、最近两年净利润合计不低于1000万元；</w:t>
      </w:r>
    </w:p>
    <w:p>
      <w:pPr>
        <w:spacing w:line="560" w:lineRule="exact"/>
        <w:ind w:firstLine="900" w:firstLineChars="300"/>
        <w:rPr>
          <w:rFonts w:ascii="仿宋" w:hAnsi="仿宋" w:eastAsia="仿宋" w:cs="仿宋"/>
          <w:sz w:val="30"/>
          <w:szCs w:val="30"/>
        </w:rPr>
      </w:pPr>
      <w:r>
        <w:rPr>
          <w:rFonts w:hint="eastAsia" w:ascii="仿宋" w:hAnsi="仿宋" w:eastAsia="仿宋" w:cs="仿宋"/>
          <w:sz w:val="30"/>
          <w:szCs w:val="30"/>
        </w:rPr>
        <w:t>2、最近一年营业收入超过4000万元且最近一年研发投入占营业收入的比例不低于3%；</w:t>
      </w:r>
    </w:p>
    <w:p>
      <w:pPr>
        <w:spacing w:line="560" w:lineRule="exact"/>
        <w:ind w:firstLine="900" w:firstLineChars="300"/>
        <w:rPr>
          <w:rFonts w:ascii="仿宋" w:hAnsi="仿宋" w:eastAsia="仿宋" w:cs="仿宋"/>
          <w:sz w:val="30"/>
          <w:szCs w:val="30"/>
        </w:rPr>
      </w:pPr>
      <w:r>
        <w:rPr>
          <w:rFonts w:hint="eastAsia" w:ascii="仿宋" w:hAnsi="仿宋" w:eastAsia="仿宋" w:cs="仿宋"/>
          <w:sz w:val="30"/>
          <w:szCs w:val="30"/>
        </w:rPr>
        <w:t>3、最近一年营业收入超过4000万元且最近两年营收增速不低于15%；</w:t>
      </w:r>
    </w:p>
    <w:p>
      <w:pPr>
        <w:spacing w:line="560" w:lineRule="exact"/>
        <w:ind w:firstLine="900" w:firstLineChars="300"/>
        <w:rPr>
          <w:rFonts w:ascii="仿宋" w:hAnsi="仿宋" w:eastAsia="仿宋" w:cs="仿宋"/>
          <w:sz w:val="30"/>
          <w:szCs w:val="30"/>
        </w:rPr>
      </w:pPr>
      <w:r>
        <w:rPr>
          <w:rFonts w:hint="eastAsia" w:ascii="仿宋" w:hAnsi="仿宋" w:eastAsia="仿宋" w:cs="仿宋"/>
          <w:sz w:val="30"/>
          <w:szCs w:val="30"/>
        </w:rPr>
        <w:t>4、</w:t>
      </w:r>
      <w:r>
        <w:rPr>
          <w:rFonts w:hint="eastAsia" w:ascii="仿宋" w:hAnsi="仿宋" w:eastAsia="仿宋" w:cs="仿宋"/>
          <w:sz w:val="30"/>
          <w:szCs w:val="30"/>
          <w:lang w:eastAsia="zh-Hans"/>
        </w:rPr>
        <w:t>获得股权融资</w:t>
      </w:r>
      <w:r>
        <w:rPr>
          <w:rFonts w:hint="eastAsia" w:ascii="仿宋" w:hAnsi="仿宋" w:eastAsia="仿宋" w:cs="仿宋"/>
          <w:sz w:val="30"/>
          <w:szCs w:val="30"/>
        </w:rPr>
        <w:t>1000万元以上或估值超过1亿元。</w:t>
      </w:r>
    </w:p>
    <w:p>
      <w:pPr>
        <w:pStyle w:val="3"/>
        <w:spacing w:before="0" w:beforeAutospacing="0" w:after="0" w:afterAutospacing="0" w:line="560" w:lineRule="exact"/>
        <w:ind w:firstLine="602" w:firstLineChars="200"/>
        <w:jc w:val="both"/>
        <w:rPr>
          <w:rFonts w:ascii="仿宋" w:hAnsi="仿宋" w:eastAsia="仿宋" w:cs="仿宋"/>
          <w:b w:val="0"/>
          <w:kern w:val="2"/>
          <w:sz w:val="30"/>
          <w:szCs w:val="30"/>
          <w:lang w:eastAsia="zh-Hans"/>
        </w:rPr>
      </w:pPr>
      <w:r>
        <w:rPr>
          <w:rFonts w:hint="eastAsia" w:ascii="仿宋" w:hAnsi="仿宋" w:eastAsia="仿宋" w:cs="仿宋"/>
          <w:sz w:val="30"/>
          <w:szCs w:val="30"/>
        </w:rPr>
        <w:t>（四）</w:t>
      </w:r>
      <w:r>
        <w:rPr>
          <w:rFonts w:hint="eastAsia" w:ascii="仿宋" w:hAnsi="仿宋" w:eastAsia="仿宋" w:cs="仿宋"/>
          <w:sz w:val="30"/>
          <w:szCs w:val="30"/>
          <w:lang w:eastAsia="zh-Hans"/>
        </w:rPr>
        <w:t>其他</w:t>
      </w:r>
      <w:r>
        <w:rPr>
          <w:rFonts w:hint="eastAsia" w:ascii="仿宋" w:hAnsi="仿宋" w:eastAsia="仿宋" w:cs="仿宋"/>
          <w:sz w:val="30"/>
          <w:szCs w:val="30"/>
        </w:rPr>
        <w:t>。</w:t>
      </w:r>
      <w:r>
        <w:rPr>
          <w:rFonts w:hint="eastAsia" w:ascii="仿宋" w:hAnsi="仿宋" w:eastAsia="仿宋" w:cs="仿宋"/>
          <w:b w:val="0"/>
          <w:kern w:val="2"/>
          <w:sz w:val="30"/>
          <w:szCs w:val="30"/>
          <w:lang w:eastAsia="zh-Hans"/>
        </w:rPr>
        <w:t>在满足上述条件的前提下</w:t>
      </w:r>
      <w:r>
        <w:rPr>
          <w:rFonts w:ascii="仿宋" w:hAnsi="仿宋" w:eastAsia="仿宋" w:cs="仿宋"/>
          <w:b w:val="0"/>
          <w:kern w:val="2"/>
          <w:sz w:val="30"/>
          <w:szCs w:val="30"/>
          <w:lang w:eastAsia="zh-Hans"/>
        </w:rPr>
        <w:t>，</w:t>
      </w:r>
      <w:r>
        <w:rPr>
          <w:rFonts w:hint="eastAsia" w:ascii="仿宋" w:hAnsi="仿宋" w:eastAsia="仿宋" w:cs="仿宋"/>
          <w:b w:val="0"/>
          <w:kern w:val="2"/>
          <w:sz w:val="30"/>
          <w:szCs w:val="30"/>
          <w:lang w:eastAsia="zh-Hans"/>
        </w:rPr>
        <w:t>具有上市意愿且与中介机构签订上市辅导服务协议的企业优先入板</w:t>
      </w:r>
      <w:r>
        <w:rPr>
          <w:rFonts w:ascii="仿宋" w:hAnsi="仿宋" w:eastAsia="仿宋" w:cs="仿宋"/>
          <w:b w:val="0"/>
          <w:kern w:val="2"/>
          <w:sz w:val="30"/>
          <w:szCs w:val="30"/>
          <w:lang w:eastAsia="zh-Hans"/>
        </w:rPr>
        <w:t>。</w:t>
      </w:r>
    </w:p>
    <w:p>
      <w:pPr>
        <w:pStyle w:val="3"/>
        <w:spacing w:before="0" w:beforeAutospacing="0" w:after="0" w:afterAutospacing="0" w:line="560" w:lineRule="exact"/>
        <w:ind w:firstLine="602" w:firstLineChars="200"/>
        <w:contextualSpacing/>
        <w:rPr>
          <w:rFonts w:ascii="仿宋_GB2312" w:hAnsi="仿宋_GB2312" w:eastAsia="仿宋" w:cs="仿宋_GB2312"/>
          <w:b w:val="0"/>
          <w:bCs w:val="0"/>
          <w:kern w:val="2"/>
        </w:rPr>
      </w:pPr>
      <w:r>
        <w:rPr>
          <w:rFonts w:hint="eastAsia" w:ascii="仿宋" w:hAnsi="仿宋" w:eastAsia="仿宋" w:cs="仿宋"/>
          <w:b/>
          <w:bCs w:val="0"/>
          <w:kern w:val="2"/>
          <w:sz w:val="30"/>
          <w:szCs w:val="30"/>
        </w:rPr>
        <w:t>第八条</w:t>
      </w:r>
      <w:r>
        <w:rPr>
          <w:rFonts w:hint="eastAsia" w:ascii="仿宋" w:hAnsi="仿宋" w:eastAsia="仿宋" w:cs="仿宋"/>
          <w:b w:val="0"/>
          <w:kern w:val="2"/>
          <w:sz w:val="30"/>
          <w:szCs w:val="30"/>
        </w:rPr>
        <w:t xml:space="preserve"> </w:t>
      </w:r>
      <w:r>
        <w:rPr>
          <w:rFonts w:hint="eastAsia" w:ascii="仿宋" w:hAnsi="仿宋" w:eastAsia="仿宋" w:cs="仿宋"/>
          <w:b w:val="0"/>
          <w:bCs/>
          <w:kern w:val="2"/>
          <w:sz w:val="30"/>
          <w:szCs w:val="30"/>
          <w:lang w:eastAsia="zh-Hans"/>
        </w:rPr>
        <w:t>湖南股交所</w:t>
      </w:r>
      <w:r>
        <w:rPr>
          <w:rFonts w:hint="eastAsia" w:ascii="仿宋" w:hAnsi="仿宋" w:eastAsia="仿宋" w:cs="仿宋"/>
          <w:b w:val="0"/>
          <w:kern w:val="2"/>
          <w:sz w:val="30"/>
          <w:szCs w:val="30"/>
        </w:rPr>
        <w:t>在专精特新专板</w:t>
      </w:r>
      <w:r>
        <w:rPr>
          <w:rFonts w:ascii="仿宋" w:hAnsi="仿宋" w:eastAsia="仿宋" w:cs="仿宋"/>
          <w:b w:val="0"/>
          <w:bCs/>
          <w:kern w:val="2"/>
          <w:sz w:val="30"/>
          <w:szCs w:val="30"/>
          <w:u w:val="none"/>
          <w:lang w:eastAsia="zh-Hans"/>
        </w:rPr>
        <w:t>建立</w:t>
      </w:r>
      <w:r>
        <w:rPr>
          <w:rFonts w:ascii="仿宋" w:hAnsi="仿宋" w:eastAsia="仿宋" w:cs="仿宋"/>
          <w:b w:val="0"/>
          <w:kern w:val="2"/>
          <w:sz w:val="30"/>
          <w:szCs w:val="30"/>
          <w:u w:val="none"/>
          <w:lang w:eastAsia="zh-Hans"/>
        </w:rPr>
        <w:t>“孵化层、规范层、培育层”</w:t>
      </w:r>
      <w:r>
        <w:rPr>
          <w:rFonts w:ascii="仿宋" w:hAnsi="仿宋" w:eastAsia="仿宋" w:cs="仿宋"/>
          <w:b w:val="0"/>
          <w:bCs/>
          <w:kern w:val="2"/>
          <w:sz w:val="30"/>
          <w:szCs w:val="30"/>
          <w:u w:val="none"/>
          <w:lang w:eastAsia="zh-Hans"/>
        </w:rPr>
        <w:t>的分层管理体系</w:t>
      </w:r>
      <w:r>
        <w:rPr>
          <w:rFonts w:hint="eastAsia" w:ascii="仿宋" w:hAnsi="仿宋" w:eastAsia="仿宋" w:cs="仿宋"/>
          <w:b w:val="0"/>
          <w:kern w:val="2"/>
          <w:sz w:val="30"/>
          <w:szCs w:val="30"/>
        </w:rPr>
        <w:t>。在</w:t>
      </w:r>
      <w:r>
        <w:rPr>
          <w:rFonts w:ascii="仿宋" w:hAnsi="仿宋" w:eastAsia="仿宋" w:cs="仿宋"/>
          <w:b w:val="0"/>
          <w:bCs/>
          <w:kern w:val="2"/>
          <w:sz w:val="30"/>
          <w:szCs w:val="30"/>
          <w:lang w:eastAsia="zh-Hans"/>
        </w:rPr>
        <w:t>企业</w:t>
      </w:r>
      <w:r>
        <w:rPr>
          <w:rFonts w:hint="eastAsia" w:ascii="仿宋" w:hAnsi="仿宋" w:eastAsia="仿宋" w:cs="仿宋"/>
          <w:b w:val="0"/>
          <w:kern w:val="2"/>
          <w:sz w:val="30"/>
          <w:szCs w:val="30"/>
        </w:rPr>
        <w:t>申请入板时按对应层级要求，自主提出进层申请，湖南股交所对企业进行初始分层。</w:t>
      </w:r>
    </w:p>
    <w:p>
      <w:pPr>
        <w:spacing w:line="560" w:lineRule="exact"/>
        <w:ind w:firstLine="602" w:firstLineChars="200"/>
        <w:rPr>
          <w:rFonts w:ascii="仿宋" w:hAnsi="仿宋" w:eastAsia="仿宋" w:cs="仿宋"/>
          <w:bCs/>
          <w:sz w:val="30"/>
          <w:szCs w:val="30"/>
        </w:rPr>
      </w:pPr>
      <w:r>
        <w:rPr>
          <w:rFonts w:hint="eastAsia" w:ascii="仿宋" w:hAnsi="仿宋" w:eastAsia="仿宋" w:cs="仿宋"/>
          <w:b/>
          <w:sz w:val="30"/>
          <w:szCs w:val="30"/>
        </w:rPr>
        <w:t>（一）培育层。</w:t>
      </w:r>
      <w:r>
        <w:rPr>
          <w:rFonts w:hint="eastAsia" w:ascii="仿宋" w:hAnsi="仿宋" w:eastAsia="仿宋" w:cs="仿宋"/>
          <w:bCs/>
          <w:sz w:val="30"/>
          <w:szCs w:val="30"/>
        </w:rPr>
        <w:t>对申请进入培育层的企业，应当满足以下条件之一：</w:t>
      </w:r>
    </w:p>
    <w:p>
      <w:pPr>
        <w:numPr>
          <w:ilvl w:val="255"/>
          <w:numId w:val="0"/>
        </w:numPr>
        <w:spacing w:line="560" w:lineRule="exact"/>
        <w:ind w:firstLine="600" w:firstLineChars="200"/>
        <w:rPr>
          <w:rFonts w:ascii="仿宋" w:hAnsi="仿宋" w:eastAsia="仿宋" w:cs="仿宋"/>
          <w:bCs/>
          <w:sz w:val="30"/>
          <w:szCs w:val="30"/>
        </w:rPr>
      </w:pPr>
      <w:r>
        <w:rPr>
          <w:rFonts w:hint="eastAsia" w:ascii="仿宋" w:hAnsi="仿宋" w:eastAsia="仿宋" w:cs="仿宋"/>
          <w:bCs/>
          <w:sz w:val="30"/>
          <w:szCs w:val="30"/>
        </w:rPr>
        <w:t>1、专精特新“小巨人”企业；</w:t>
      </w:r>
    </w:p>
    <w:p>
      <w:pPr>
        <w:numPr>
          <w:ilvl w:val="255"/>
          <w:numId w:val="0"/>
        </w:numPr>
        <w:spacing w:line="560" w:lineRule="exact"/>
        <w:ind w:firstLine="600" w:firstLineChars="200"/>
        <w:rPr>
          <w:rFonts w:ascii="仿宋" w:hAnsi="仿宋" w:eastAsia="仿宋" w:cs="仿宋"/>
          <w:bCs/>
          <w:sz w:val="30"/>
          <w:szCs w:val="30"/>
        </w:rPr>
      </w:pPr>
      <w:r>
        <w:rPr>
          <w:rFonts w:hint="eastAsia" w:ascii="仿宋" w:hAnsi="仿宋" w:eastAsia="仿宋" w:cs="仿宋"/>
          <w:bCs/>
          <w:sz w:val="30"/>
          <w:szCs w:val="30"/>
        </w:rPr>
        <w:t>2、拟上市后备企业；</w:t>
      </w:r>
    </w:p>
    <w:p>
      <w:pPr>
        <w:numPr>
          <w:ilvl w:val="255"/>
          <w:numId w:val="0"/>
        </w:numPr>
        <w:spacing w:line="560" w:lineRule="exact"/>
        <w:ind w:firstLine="600" w:firstLineChars="200"/>
        <w:rPr>
          <w:rFonts w:ascii="仿宋" w:hAnsi="仿宋" w:eastAsia="仿宋" w:cs="仿宋"/>
          <w:bCs/>
          <w:sz w:val="30"/>
          <w:szCs w:val="30"/>
        </w:rPr>
      </w:pPr>
      <w:r>
        <w:rPr>
          <w:rFonts w:hint="eastAsia" w:ascii="仿宋" w:hAnsi="仿宋" w:eastAsia="仿宋" w:cs="仿宋"/>
          <w:bCs/>
          <w:sz w:val="30"/>
          <w:szCs w:val="30"/>
        </w:rPr>
        <w:t>3、主营业务明确，具有持续经营能力，营业收入、净利润等财务指标达到沪深北交易所或全国股转系统创新层相应指标50%以上，且具备上市潜力或具有明确上市规划的企业。</w:t>
      </w:r>
    </w:p>
    <w:p>
      <w:pPr>
        <w:numPr>
          <w:ilvl w:val="255"/>
          <w:numId w:val="0"/>
        </w:numPr>
        <w:spacing w:line="560" w:lineRule="exact"/>
        <w:ind w:firstLine="600" w:firstLineChars="200"/>
        <w:rPr>
          <w:rFonts w:ascii="仿宋" w:hAnsi="仿宋" w:eastAsia="仿宋" w:cs="仿宋"/>
          <w:bCs/>
          <w:sz w:val="30"/>
          <w:szCs w:val="30"/>
        </w:rPr>
      </w:pPr>
      <w:r>
        <w:rPr>
          <w:rFonts w:hint="eastAsia" w:ascii="仿宋" w:hAnsi="仿宋" w:eastAsia="仿宋" w:cs="仿宋"/>
          <w:bCs/>
          <w:sz w:val="30"/>
          <w:szCs w:val="30"/>
        </w:rPr>
        <w:t>鼓励已进入上市辅导期的企业和拟申请IPO的全国股转系统摘牌企业进入培育层。</w:t>
      </w:r>
    </w:p>
    <w:p>
      <w:pPr>
        <w:spacing w:line="560" w:lineRule="exact"/>
        <w:ind w:firstLine="602" w:firstLineChars="200"/>
        <w:rPr>
          <w:rFonts w:ascii="仿宋" w:hAnsi="仿宋" w:eastAsia="仿宋" w:cs="仿宋"/>
          <w:bCs/>
          <w:sz w:val="30"/>
          <w:szCs w:val="30"/>
        </w:rPr>
      </w:pPr>
      <w:r>
        <w:rPr>
          <w:rFonts w:hint="eastAsia" w:ascii="仿宋" w:hAnsi="仿宋" w:eastAsia="仿宋" w:cs="仿宋"/>
          <w:b/>
          <w:sz w:val="30"/>
          <w:szCs w:val="30"/>
        </w:rPr>
        <w:t>（二）规范层。</w:t>
      </w:r>
      <w:r>
        <w:rPr>
          <w:rFonts w:hint="eastAsia" w:ascii="仿宋" w:hAnsi="仿宋" w:eastAsia="仿宋" w:cs="仿宋"/>
          <w:bCs/>
          <w:sz w:val="30"/>
          <w:szCs w:val="30"/>
        </w:rPr>
        <w:t>对申请进入规范层的企业，应当满足以下条件之一：</w:t>
      </w:r>
    </w:p>
    <w:p>
      <w:pPr>
        <w:numPr>
          <w:ilvl w:val="255"/>
          <w:numId w:val="0"/>
        </w:numPr>
        <w:spacing w:line="560" w:lineRule="exact"/>
        <w:ind w:firstLine="600" w:firstLineChars="200"/>
        <w:rPr>
          <w:rFonts w:ascii="仿宋" w:hAnsi="仿宋" w:eastAsia="仿宋" w:cs="仿宋"/>
          <w:bCs/>
          <w:sz w:val="30"/>
          <w:szCs w:val="30"/>
        </w:rPr>
      </w:pPr>
      <w:r>
        <w:rPr>
          <w:rFonts w:hint="eastAsia" w:ascii="仿宋" w:hAnsi="仿宋" w:eastAsia="仿宋" w:cs="仿宋"/>
          <w:bCs/>
          <w:sz w:val="30"/>
          <w:szCs w:val="30"/>
        </w:rPr>
        <w:t>1、专精特新中小企业；</w:t>
      </w:r>
    </w:p>
    <w:p>
      <w:pPr>
        <w:numPr>
          <w:ilvl w:val="255"/>
          <w:numId w:val="0"/>
        </w:numPr>
        <w:spacing w:line="560" w:lineRule="exact"/>
        <w:ind w:firstLine="600" w:firstLineChars="200"/>
        <w:rPr>
          <w:rFonts w:ascii="仿宋" w:hAnsi="仿宋" w:eastAsia="仿宋" w:cs="仿宋"/>
          <w:bCs/>
          <w:sz w:val="30"/>
          <w:szCs w:val="30"/>
        </w:rPr>
      </w:pPr>
      <w:r>
        <w:rPr>
          <w:rFonts w:hint="eastAsia" w:ascii="仿宋" w:hAnsi="仿宋" w:eastAsia="仿宋" w:cs="仿宋"/>
          <w:bCs/>
          <w:sz w:val="30"/>
          <w:szCs w:val="30"/>
        </w:rPr>
        <w:t>2、获得过B轮以上私募股权融资的专板企业。</w:t>
      </w:r>
    </w:p>
    <w:p>
      <w:pPr>
        <w:spacing w:line="560" w:lineRule="exact"/>
        <w:ind w:firstLine="602" w:firstLineChars="200"/>
        <w:rPr>
          <w:rFonts w:ascii="仿宋" w:hAnsi="仿宋" w:eastAsia="仿宋" w:cs="仿宋"/>
          <w:bCs/>
          <w:sz w:val="30"/>
          <w:szCs w:val="30"/>
        </w:rPr>
      </w:pPr>
      <w:r>
        <w:rPr>
          <w:rFonts w:hint="eastAsia" w:ascii="仿宋" w:hAnsi="仿宋" w:eastAsia="仿宋" w:cs="仿宋"/>
          <w:b/>
          <w:sz w:val="30"/>
          <w:szCs w:val="30"/>
        </w:rPr>
        <w:t>（三）孵化层。</w:t>
      </w:r>
      <w:r>
        <w:rPr>
          <w:rFonts w:hint="eastAsia" w:ascii="仿宋" w:hAnsi="仿宋" w:eastAsia="仿宋" w:cs="仿宋"/>
          <w:bCs/>
          <w:sz w:val="30"/>
          <w:szCs w:val="30"/>
        </w:rPr>
        <w:t>尚未达到规范层或培育层标准的企业，则申请进入孵化层。</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第九条</w:t>
      </w:r>
      <w:r>
        <w:rPr>
          <w:rFonts w:hint="eastAsia" w:ascii="仿宋" w:hAnsi="仿宋" w:eastAsia="仿宋" w:cs="仿宋"/>
          <w:sz w:val="30"/>
          <w:szCs w:val="30"/>
        </w:rPr>
        <w:t xml:space="preserve"> 存在以下情形之一的公司，湖南股交所不接受其挂牌申请: </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 xml:space="preserve">（一）因参与民间借贷导致持续经营受到重大不利影响或存在涉嫌非法集资等违法行为； </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（二）因直接或间接发行、转让股份导致有限公司实际股东人数超过50人、股份公司超过200人的（法律、行政法规另有规定的除外）；</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（三）公司或公司的实际控制人被国家机关列为失信人的；</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（四）公司有其他重大违法违规行为的。</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第十条</w:t>
      </w:r>
      <w:r>
        <w:rPr>
          <w:rFonts w:hint="eastAsia" w:ascii="仿宋" w:hAnsi="仿宋" w:eastAsia="仿宋" w:cs="仿宋"/>
          <w:sz w:val="30"/>
          <w:szCs w:val="30"/>
        </w:rPr>
        <w:t xml:space="preserve"> 公司申请在“专精特新”专板挂牌，可以委托在湖南股交所注册的证券公司等会员机构进行推荐，也可自主推荐。会员机构的资质要求、注册条件等方面</w:t>
      </w:r>
      <w:bookmarkStart w:id="0" w:name="_Hlk32955886"/>
      <w:r>
        <w:rPr>
          <w:rFonts w:hint="eastAsia" w:ascii="仿宋" w:hAnsi="仿宋" w:eastAsia="仿宋" w:cs="仿宋"/>
          <w:sz w:val="30"/>
          <w:szCs w:val="30"/>
        </w:rPr>
        <w:t>参照《湖南股权交易所会员管理办法》</w:t>
      </w:r>
      <w:bookmarkEnd w:id="0"/>
      <w:r>
        <w:rPr>
          <w:rFonts w:hint="eastAsia" w:ascii="仿宋" w:hAnsi="仿宋" w:eastAsia="仿宋" w:cs="仿宋"/>
          <w:sz w:val="30"/>
          <w:szCs w:val="30"/>
        </w:rPr>
        <w:t>执行。</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第十一条</w:t>
      </w:r>
      <w:r>
        <w:rPr>
          <w:rFonts w:hint="eastAsia" w:ascii="仿宋" w:hAnsi="仿宋" w:eastAsia="仿宋" w:cs="仿宋"/>
          <w:sz w:val="30"/>
          <w:szCs w:val="30"/>
        </w:rPr>
        <w:t xml:space="preserve"> 公司申请在“专精特新”专板挂牌需提交以下资料：</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（一）企业基本信息情况表；</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（二）公司股东（大）会或董事会同意在湖南股交所“专精特新”专板挂牌的决议文件；</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（三）材料真实性承诺函；</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（四）挂牌申请报告；</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（五）相关机构出具的尽调报告或最近一个会计年度审计报告；</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（六）“专精特新”</w:t>
      </w:r>
      <w:r>
        <w:rPr>
          <w:rFonts w:hint="eastAsia" w:ascii="仿宋" w:hAnsi="仿宋" w:eastAsia="仿宋" w:cs="仿宋"/>
          <w:sz w:val="30"/>
          <w:szCs w:val="30"/>
          <w:lang w:eastAsia="zh-Hans"/>
        </w:rPr>
        <w:t>资质</w:t>
      </w:r>
      <w:r>
        <w:rPr>
          <w:rFonts w:hint="eastAsia" w:ascii="仿宋" w:hAnsi="仿宋" w:eastAsia="仿宋" w:cs="仿宋"/>
          <w:sz w:val="30"/>
          <w:szCs w:val="30"/>
        </w:rPr>
        <w:t>申报或认定证明材料；</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（七）公司最新的营业执照、公司章程、征信报告；</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（八）公司最近两年内无重大违法证明等文件；</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（九）投资协议（如有）；</w:t>
      </w:r>
    </w:p>
    <w:p>
      <w:pPr>
        <w:spacing w:line="560" w:lineRule="exact"/>
        <w:ind w:firstLine="600" w:firstLineChars="200"/>
        <w:rPr>
          <w:rFonts w:ascii="仿宋" w:hAnsi="仿宋" w:eastAsia="仿宋" w:cs="仿宋"/>
          <w:color w:val="FF0000"/>
          <w:sz w:val="30"/>
          <w:szCs w:val="30"/>
        </w:rPr>
      </w:pPr>
      <w:r>
        <w:rPr>
          <w:rFonts w:hint="eastAsia" w:ascii="仿宋" w:hAnsi="仿宋" w:eastAsia="仿宋" w:cs="仿宋"/>
          <w:sz w:val="30"/>
          <w:szCs w:val="30"/>
        </w:rPr>
        <w:t xml:space="preserve">（十）其他证明材料，如上市中介服务机构签约合同（如有）。 </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相关机构包括投资该企业的私募基金管理人，为企业提供贷款或服务的银行、证券公司、会计师事务所、律师事务所等机构。</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第十二条</w:t>
      </w:r>
      <w:r>
        <w:rPr>
          <w:rFonts w:hint="eastAsia" w:ascii="仿宋" w:hAnsi="仿宋" w:eastAsia="仿宋" w:cs="仿宋"/>
          <w:sz w:val="30"/>
          <w:szCs w:val="30"/>
        </w:rPr>
        <w:t xml:space="preserve"> 湖南股交所收到“专精特新”专板拟挂牌公司的挂牌申报材料后，组织进行完备性审核，审核程序包括企业服务部进行初审、内核风控部进行预审、专家审核委员会进行专审。</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第十三条</w:t>
      </w:r>
      <w:r>
        <w:rPr>
          <w:rFonts w:hint="eastAsia" w:ascii="仿宋" w:hAnsi="仿宋" w:eastAsia="仿宋" w:cs="仿宋"/>
          <w:sz w:val="30"/>
          <w:szCs w:val="30"/>
        </w:rPr>
        <w:t xml:space="preserve"> 湖南股交所通过集中召开专家审核委员会（以下简称“专审会”）的形式对拟挂牌公司的申报材料进行审核，以投票的方式对拟挂牌公司的挂牌申请进行表决，提出审核意见。</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第十四条</w:t>
      </w:r>
      <w:r>
        <w:rPr>
          <w:rFonts w:hint="eastAsia" w:ascii="仿宋" w:hAnsi="仿宋" w:eastAsia="仿宋" w:cs="仿宋"/>
          <w:sz w:val="30"/>
          <w:szCs w:val="30"/>
        </w:rPr>
        <w:t xml:space="preserve"> 审核委员会委员表决采取记名投票方式。表决票设同意票、附条件同意和反对票，审核委员会委员不得弃权。</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每场专审会由五名委员组成，表决投票时，同意票数过半数为通过；同意及附条件同意票数过半数为附条件通过，待拟挂牌公司在解决审核委员会提出的相关问题并征得湖南股交所会后审查同意才能视为通过；其余均为未通过。</w:t>
      </w:r>
    </w:p>
    <w:p>
      <w:pPr>
        <w:spacing w:line="560" w:lineRule="exact"/>
        <w:ind w:firstLine="602" w:firstLineChars="200"/>
        <w:rPr>
          <w:rFonts w:ascii="仿宋" w:hAnsi="仿宋" w:eastAsia="仿宋" w:cs="仿宋"/>
          <w:sz w:val="30"/>
          <w:szCs w:val="30"/>
        </w:rPr>
      </w:pPr>
      <w:r>
        <w:rPr>
          <w:rFonts w:hint="eastAsia" w:ascii="仿宋" w:hAnsi="仿宋" w:eastAsia="仿宋" w:cs="仿宋"/>
          <w:b/>
          <w:bCs/>
          <w:sz w:val="30"/>
          <w:szCs w:val="30"/>
        </w:rPr>
        <w:t>第十五条</w:t>
      </w:r>
      <w:r>
        <w:rPr>
          <w:rFonts w:hint="eastAsia" w:ascii="仿宋" w:hAnsi="仿宋" w:eastAsia="仿宋" w:cs="仿宋"/>
          <w:sz w:val="30"/>
          <w:szCs w:val="30"/>
        </w:rPr>
        <w:t xml:space="preserve"> “专精特新”专板挂牌的公司应当将其全部股份（或股权）托管在湖南省股权登记管理中心。 </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第十六条</w:t>
      </w:r>
      <w:r>
        <w:rPr>
          <w:rFonts w:hint="eastAsia" w:ascii="仿宋" w:hAnsi="仿宋" w:eastAsia="仿宋" w:cs="仿宋"/>
          <w:sz w:val="30"/>
          <w:szCs w:val="30"/>
        </w:rPr>
        <w:t xml:space="preserve"> 湖南股交所向通过审核的拟挂牌公司出具《挂牌通知书》，并报湖南省地方金融</w:t>
      </w:r>
      <w:r>
        <w:rPr>
          <w:rFonts w:hint="eastAsia" w:ascii="仿宋" w:hAnsi="仿宋" w:eastAsia="仿宋" w:cs="仿宋"/>
          <w:sz w:val="30"/>
          <w:szCs w:val="30"/>
          <w:lang w:val="en-US" w:eastAsia="zh-CN"/>
        </w:rPr>
        <w:t>管理</w:t>
      </w:r>
      <w:r>
        <w:rPr>
          <w:rFonts w:hint="eastAsia" w:ascii="仿宋" w:hAnsi="仿宋" w:eastAsia="仿宋" w:cs="仿宋"/>
          <w:sz w:val="30"/>
          <w:szCs w:val="30"/>
        </w:rPr>
        <w:t>局和中国证监会湖南监管局备案。</w:t>
      </w:r>
    </w:p>
    <w:p>
      <w:pPr>
        <w:spacing w:line="560" w:lineRule="exact"/>
        <w:rPr>
          <w:rFonts w:ascii="仿宋" w:hAnsi="仿宋" w:eastAsia="仿宋" w:cs="仿宋"/>
          <w:sz w:val="30"/>
          <w:szCs w:val="30"/>
        </w:rPr>
      </w:pPr>
    </w:p>
    <w:p>
      <w:pPr>
        <w:spacing w:line="560" w:lineRule="exact"/>
        <w:jc w:val="center"/>
        <w:rPr>
          <w:rFonts w:ascii="仿宋" w:hAnsi="仿宋" w:eastAsia="仿宋" w:cs="仿宋"/>
          <w:b/>
          <w:sz w:val="30"/>
          <w:szCs w:val="30"/>
        </w:rPr>
      </w:pPr>
      <w:r>
        <w:rPr>
          <w:rFonts w:hint="eastAsia" w:ascii="仿宋" w:hAnsi="仿宋" w:eastAsia="仿宋" w:cs="仿宋"/>
          <w:b/>
          <w:sz w:val="30"/>
          <w:szCs w:val="30"/>
        </w:rPr>
        <w:t>第三章 信息披露</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第十七条</w:t>
      </w:r>
      <w:r>
        <w:rPr>
          <w:rFonts w:hint="eastAsia" w:ascii="仿宋" w:hAnsi="仿宋" w:eastAsia="仿宋" w:cs="仿宋"/>
          <w:sz w:val="30"/>
          <w:szCs w:val="30"/>
        </w:rPr>
        <w:t xml:space="preserve"> 挂牌公司在收到“专精特新”专板挂牌通知书后，应对公司如下信息进行首次披露：</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（一）公司基本信息(含公司简介</w:t>
      </w:r>
      <w:r>
        <w:rPr>
          <w:rFonts w:ascii="仿宋" w:hAnsi="仿宋" w:eastAsia="仿宋" w:cs="仿宋"/>
          <w:sz w:val="30"/>
          <w:szCs w:val="30"/>
        </w:rPr>
        <w:t>、</w:t>
      </w:r>
      <w:r>
        <w:rPr>
          <w:rFonts w:hint="eastAsia" w:ascii="仿宋" w:hAnsi="仿宋" w:eastAsia="仿宋" w:cs="仿宋"/>
          <w:sz w:val="30"/>
          <w:szCs w:val="30"/>
        </w:rPr>
        <w:t>主营业务等）；</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eastAsia="zh-Hans"/>
        </w:rPr>
        <w:t>二</w:t>
      </w:r>
      <w:r>
        <w:rPr>
          <w:rFonts w:hint="eastAsia" w:ascii="仿宋" w:hAnsi="仿宋" w:eastAsia="仿宋" w:cs="仿宋"/>
          <w:sz w:val="30"/>
          <w:szCs w:val="30"/>
        </w:rPr>
        <w:t>）湖南股交所要求进行披露的其他文件。</w:t>
      </w:r>
    </w:p>
    <w:p>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鼓励挂牌公司披露更多相关信息，如：研发团队情况、财务数据、核心技术等，并及时更新。</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第十八条</w:t>
      </w:r>
      <w:r>
        <w:rPr>
          <w:rFonts w:hint="eastAsia" w:ascii="仿宋" w:hAnsi="仿宋" w:eastAsia="仿宋" w:cs="仿宋"/>
          <w:sz w:val="30"/>
          <w:szCs w:val="30"/>
        </w:rPr>
        <w:t xml:space="preserve"> 挂牌公司挂牌期间的信息披露，实行差异化披露制度。根据“非必要不披露”原则，挂牌公司可自主选择信息披露内容及范围；有股权和债权融资的挂牌公司，根据外部投资人要求和监管要求定向披露信息。</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 xml:space="preserve">第十九条 </w:t>
      </w:r>
      <w:r>
        <w:rPr>
          <w:rFonts w:hint="eastAsia" w:ascii="仿宋" w:hAnsi="仿宋" w:eastAsia="仿宋" w:cs="仿宋"/>
          <w:sz w:val="30"/>
          <w:szCs w:val="30"/>
        </w:rPr>
        <w:t>挂牌公司在发生可能对股权转让价格产生较大影响的重要事项，如发生注册资本、股权变更等重大事项时，需及时进行信息披露。</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 xml:space="preserve">第二十条 </w:t>
      </w:r>
      <w:r>
        <w:rPr>
          <w:rFonts w:hint="eastAsia" w:ascii="仿宋" w:hAnsi="仿宋" w:eastAsia="仿宋" w:cs="仿宋"/>
          <w:sz w:val="30"/>
          <w:szCs w:val="30"/>
        </w:rPr>
        <w:t>挂牌公司及相关信息披露义务人依法披露的信息，应当在湖南股交所指定的信息披露平台公布。</w:t>
      </w:r>
    </w:p>
    <w:p>
      <w:pPr>
        <w:spacing w:line="560" w:lineRule="exact"/>
        <w:jc w:val="both"/>
        <w:rPr>
          <w:rFonts w:ascii="仿宋" w:hAnsi="仿宋" w:eastAsia="仿宋" w:cs="仿宋"/>
          <w:b/>
          <w:sz w:val="30"/>
          <w:szCs w:val="30"/>
        </w:rPr>
      </w:pPr>
    </w:p>
    <w:p>
      <w:pPr>
        <w:spacing w:line="560" w:lineRule="exact"/>
        <w:jc w:val="center"/>
        <w:rPr>
          <w:rFonts w:ascii="仿宋" w:hAnsi="仿宋" w:eastAsia="仿宋" w:cs="仿宋"/>
          <w:b/>
          <w:sz w:val="30"/>
          <w:szCs w:val="30"/>
        </w:rPr>
      </w:pPr>
      <w:r>
        <w:rPr>
          <w:rFonts w:hint="eastAsia" w:ascii="仿宋" w:hAnsi="仿宋" w:eastAsia="仿宋" w:cs="仿宋"/>
          <w:b/>
          <w:sz w:val="30"/>
          <w:szCs w:val="30"/>
        </w:rPr>
        <w:t>第四章 相关服务</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 xml:space="preserve">第二十一条 </w:t>
      </w:r>
      <w:r>
        <w:rPr>
          <w:rFonts w:hint="eastAsia" w:ascii="仿宋" w:hAnsi="仿宋" w:eastAsia="仿宋" w:cs="仿宋"/>
          <w:sz w:val="30"/>
          <w:szCs w:val="30"/>
        </w:rPr>
        <w:t>湖南股交所为“专精特新”专板挂牌公司提供股权登记托管、实时公布价格行情服务，规范必修班、董秘班、股权激励训练营、融资路演训练营等资本市场专业培训咨询服务，线上线下的投融资对接服务，上市辅导与并购重组服务，转板资源对接服务，产学研合作资源对接、营销渠道对接、宣传资源对接等系列服务。</w:t>
      </w:r>
    </w:p>
    <w:p>
      <w:pPr>
        <w:spacing w:line="560" w:lineRule="exact"/>
        <w:jc w:val="both"/>
        <w:rPr>
          <w:rFonts w:ascii="仿宋" w:hAnsi="仿宋" w:eastAsia="仿宋" w:cs="仿宋"/>
          <w:b/>
          <w:sz w:val="30"/>
          <w:szCs w:val="30"/>
        </w:rPr>
      </w:pPr>
    </w:p>
    <w:p>
      <w:pPr>
        <w:spacing w:line="560" w:lineRule="exact"/>
        <w:jc w:val="center"/>
        <w:rPr>
          <w:rFonts w:ascii="仿宋" w:hAnsi="仿宋" w:eastAsia="仿宋" w:cs="仿宋"/>
          <w:b/>
          <w:sz w:val="30"/>
          <w:szCs w:val="30"/>
        </w:rPr>
      </w:pPr>
      <w:r>
        <w:rPr>
          <w:rFonts w:hint="eastAsia" w:ascii="仿宋" w:hAnsi="仿宋" w:eastAsia="仿宋" w:cs="仿宋"/>
          <w:b/>
          <w:sz w:val="30"/>
          <w:szCs w:val="30"/>
        </w:rPr>
        <w:t>第五章 管 理</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第二十二条</w:t>
      </w:r>
      <w:r>
        <w:rPr>
          <w:rFonts w:hint="eastAsia" w:ascii="仿宋" w:hAnsi="仿宋" w:eastAsia="仿宋" w:cs="仿宋"/>
          <w:sz w:val="30"/>
          <w:szCs w:val="30"/>
        </w:rPr>
        <w:t xml:space="preserve"> 挂牌公司应对所发布信息的真实性、准确性、完整性、合法性、有效性承担完全责任；投资者等信息使用者，应对挂牌公司披露的信息进行审慎判断，自担风险。 </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 xml:space="preserve">第二十三条 </w:t>
      </w:r>
      <w:r>
        <w:rPr>
          <w:rFonts w:hint="eastAsia" w:ascii="仿宋" w:hAnsi="仿宋" w:eastAsia="仿宋" w:cs="仿宋"/>
          <w:sz w:val="30"/>
          <w:szCs w:val="30"/>
        </w:rPr>
        <w:t>挂牌公司有严格遵守《公司法》、《证券法》及湖南股交所相关业务规则的义务。</w:t>
      </w:r>
    </w:p>
    <w:p>
      <w:pPr>
        <w:spacing w:line="560" w:lineRule="exact"/>
        <w:ind w:firstLine="602" w:firstLineChars="200"/>
        <w:rPr>
          <w:rFonts w:ascii="仿宋_GB2312" w:hAnsi="仿宋_GB2312" w:eastAsia="仿宋_GB2312" w:cs="仿宋_GB2312"/>
          <w:u w:val="wave"/>
        </w:rPr>
      </w:pPr>
      <w:r>
        <w:rPr>
          <w:rFonts w:hint="eastAsia" w:ascii="仿宋" w:hAnsi="仿宋" w:eastAsia="仿宋" w:cs="仿宋"/>
          <w:b/>
          <w:sz w:val="30"/>
          <w:szCs w:val="30"/>
        </w:rPr>
        <w:t>第二十四条</w:t>
      </w:r>
      <w:r>
        <w:rPr>
          <w:rFonts w:hint="eastAsia" w:ascii="仿宋" w:hAnsi="仿宋" w:eastAsia="仿宋" w:cs="仿宋"/>
          <w:sz w:val="30"/>
          <w:szCs w:val="30"/>
        </w:rPr>
        <w:t xml:space="preserve"> 挂牌公司动态分层管理依照《湖南省区域性股权市场专精特新专板分层管理办法》相关要求执行。</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第二十五条</w:t>
      </w:r>
      <w:r>
        <w:rPr>
          <w:rFonts w:hint="eastAsia" w:ascii="仿宋" w:hAnsi="仿宋" w:eastAsia="仿宋" w:cs="仿宋"/>
          <w:sz w:val="30"/>
          <w:szCs w:val="30"/>
        </w:rPr>
        <w:t xml:space="preserve"> 挂牌公司挂牌期间，若不再满足挂牌条件，或存在《湖南股交所停牌、复牌及摘牌管理细则》规定的相关情形，湖南股交所将根据《湖南股交所挂牌公司停牌、复牌及摘牌操作规程》对其进行停牌、复牌或摘牌等处理。</w:t>
      </w:r>
    </w:p>
    <w:p>
      <w:pPr>
        <w:pStyle w:val="3"/>
        <w:spacing w:line="560" w:lineRule="exact"/>
        <w:ind w:firstLine="602" w:firstLineChars="200"/>
        <w:jc w:val="both"/>
        <w:rPr>
          <w:rFonts w:ascii="仿宋" w:hAnsi="仿宋" w:eastAsia="仿宋" w:cs="仿宋"/>
          <w:sz w:val="30"/>
          <w:szCs w:val="30"/>
        </w:rPr>
      </w:pPr>
      <w:r>
        <w:rPr>
          <w:rFonts w:hint="eastAsia" w:ascii="仿宋" w:hAnsi="仿宋" w:eastAsia="仿宋" w:cs="仿宋"/>
          <w:b/>
          <w:bCs w:val="0"/>
          <w:kern w:val="2"/>
          <w:sz w:val="30"/>
          <w:szCs w:val="30"/>
        </w:rPr>
        <w:t>第二十六条</w:t>
      </w:r>
      <w:r>
        <w:rPr>
          <w:rFonts w:ascii="仿宋" w:hAnsi="仿宋" w:eastAsia="仿宋" w:cs="仿宋"/>
          <w:b w:val="0"/>
          <w:bCs/>
          <w:kern w:val="2"/>
          <w:sz w:val="30"/>
          <w:szCs w:val="30"/>
        </w:rPr>
        <w:t xml:space="preserve"> </w:t>
      </w:r>
      <w:r>
        <w:rPr>
          <w:rFonts w:hint="eastAsia" w:ascii="仿宋" w:hAnsi="仿宋" w:eastAsia="仿宋" w:cs="仿宋"/>
          <w:b w:val="0"/>
          <w:bCs/>
          <w:kern w:val="2"/>
          <w:sz w:val="30"/>
          <w:szCs w:val="30"/>
        </w:rPr>
        <w:t>湖南股交所已挂牌公司在各板块之间进行转板，依照《湖南省区域性股权市场挂牌企业转板管理办法》相关要求执行。</w:t>
      </w:r>
    </w:p>
    <w:p>
      <w:pPr>
        <w:spacing w:line="560" w:lineRule="exact"/>
        <w:jc w:val="center"/>
        <w:rPr>
          <w:rFonts w:ascii="仿宋" w:hAnsi="仿宋" w:eastAsia="仿宋" w:cs="仿宋"/>
          <w:b/>
          <w:sz w:val="30"/>
          <w:szCs w:val="30"/>
        </w:rPr>
      </w:pPr>
    </w:p>
    <w:p>
      <w:pPr>
        <w:spacing w:line="560" w:lineRule="exact"/>
        <w:jc w:val="center"/>
        <w:rPr>
          <w:rFonts w:ascii="仿宋" w:hAnsi="仿宋" w:eastAsia="仿宋" w:cs="仿宋"/>
          <w:b/>
          <w:sz w:val="30"/>
          <w:szCs w:val="30"/>
        </w:rPr>
      </w:pPr>
      <w:r>
        <w:rPr>
          <w:rFonts w:hint="eastAsia" w:ascii="仿宋" w:hAnsi="仿宋" w:eastAsia="仿宋" w:cs="仿宋"/>
          <w:b/>
          <w:sz w:val="30"/>
          <w:szCs w:val="30"/>
        </w:rPr>
        <w:t>第六章 附 则</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第二十七条</w:t>
      </w:r>
      <w:r>
        <w:rPr>
          <w:rFonts w:hint="eastAsia" w:ascii="仿宋" w:hAnsi="仿宋" w:eastAsia="仿宋" w:cs="仿宋"/>
          <w:sz w:val="30"/>
          <w:szCs w:val="30"/>
        </w:rPr>
        <w:t xml:space="preserve"> 本规则由湖南股交所负责解释。 </w:t>
      </w:r>
    </w:p>
    <w:p>
      <w:pPr>
        <w:spacing w:line="560" w:lineRule="exact"/>
        <w:ind w:firstLine="602" w:firstLineChars="200"/>
        <w:rPr>
          <w:rFonts w:ascii="仿宋" w:hAnsi="仿宋" w:eastAsia="仿宋" w:cs="仿宋"/>
          <w:sz w:val="30"/>
          <w:szCs w:val="30"/>
        </w:rPr>
      </w:pPr>
      <w:r>
        <w:rPr>
          <w:rFonts w:hint="eastAsia" w:ascii="仿宋" w:hAnsi="仿宋" w:eastAsia="仿宋" w:cs="仿宋"/>
          <w:b/>
          <w:sz w:val="30"/>
          <w:szCs w:val="30"/>
        </w:rPr>
        <w:t>第</w:t>
      </w:r>
      <w:r>
        <w:rPr>
          <w:rFonts w:hint="eastAsia" w:ascii="仿宋" w:hAnsi="仿宋" w:eastAsia="仿宋" w:cs="仿宋"/>
          <w:b/>
          <w:sz w:val="30"/>
          <w:szCs w:val="30"/>
          <w:lang w:val="en-US" w:eastAsia="zh-CN"/>
        </w:rPr>
        <w:t>二十八</w:t>
      </w:r>
      <w:r>
        <w:rPr>
          <w:rFonts w:hint="eastAsia" w:ascii="仿宋" w:hAnsi="仿宋" w:eastAsia="仿宋" w:cs="仿宋"/>
          <w:b/>
          <w:sz w:val="30"/>
          <w:szCs w:val="30"/>
        </w:rPr>
        <w:t>条</w:t>
      </w:r>
      <w:r>
        <w:rPr>
          <w:rFonts w:hint="eastAsia" w:ascii="仿宋" w:hAnsi="仿宋" w:eastAsia="仿宋" w:cs="仿宋"/>
          <w:sz w:val="30"/>
          <w:szCs w:val="30"/>
        </w:rPr>
        <w:t xml:space="preserve"> 本规则报湖南省地方金融</w:t>
      </w:r>
      <w:r>
        <w:rPr>
          <w:rFonts w:hint="eastAsia" w:ascii="仿宋" w:hAnsi="仿宋" w:eastAsia="仿宋" w:cs="仿宋"/>
          <w:sz w:val="30"/>
          <w:szCs w:val="30"/>
          <w:lang w:val="en-US" w:eastAsia="zh-CN"/>
        </w:rPr>
        <w:t>管理</w:t>
      </w:r>
      <w:r>
        <w:rPr>
          <w:rFonts w:hint="eastAsia" w:ascii="仿宋" w:hAnsi="仿宋" w:eastAsia="仿宋" w:cs="仿宋"/>
          <w:sz w:val="30"/>
          <w:szCs w:val="30"/>
        </w:rPr>
        <w:t>局、中国证监会湖南监管局备案后实施。</w:t>
      </w:r>
    </w:p>
    <w:p>
      <w:pPr>
        <w:spacing w:line="560" w:lineRule="exact"/>
      </w:pPr>
    </w:p>
    <w:sectPr>
      <w:footerReference r:id="rId4"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ZkNDI3MGQ4ZmY2Y2ZmMmQ3YmU0MzBkOGRhOWRkNjQifQ=="/>
    <w:docVar w:name="KSO_WPS_MARK_KEY" w:val="8648fc2a-1d1e-4f95-b09e-76d56ed5b856"/>
  </w:docVars>
  <w:rsids>
    <w:rsidRoot w:val="26597AB5"/>
    <w:rsid w:val="002A3AC4"/>
    <w:rsid w:val="002F387A"/>
    <w:rsid w:val="00360E24"/>
    <w:rsid w:val="003A381B"/>
    <w:rsid w:val="00522240"/>
    <w:rsid w:val="00554976"/>
    <w:rsid w:val="008000E1"/>
    <w:rsid w:val="00970C23"/>
    <w:rsid w:val="009D74C2"/>
    <w:rsid w:val="00A40F08"/>
    <w:rsid w:val="00A50FBF"/>
    <w:rsid w:val="00B40A71"/>
    <w:rsid w:val="00BE47FF"/>
    <w:rsid w:val="00C519A7"/>
    <w:rsid w:val="00E81C2D"/>
    <w:rsid w:val="00F95F21"/>
    <w:rsid w:val="01A74CCF"/>
    <w:rsid w:val="046B19E4"/>
    <w:rsid w:val="054162A1"/>
    <w:rsid w:val="08670714"/>
    <w:rsid w:val="0AAD56E0"/>
    <w:rsid w:val="0B3F14D4"/>
    <w:rsid w:val="0BD15F51"/>
    <w:rsid w:val="0EF820C6"/>
    <w:rsid w:val="10CA5CE4"/>
    <w:rsid w:val="10F7081E"/>
    <w:rsid w:val="11C15D93"/>
    <w:rsid w:val="1565422D"/>
    <w:rsid w:val="15E91680"/>
    <w:rsid w:val="161D0664"/>
    <w:rsid w:val="16C03413"/>
    <w:rsid w:val="171A4BA4"/>
    <w:rsid w:val="19FF69FF"/>
    <w:rsid w:val="1A1B310D"/>
    <w:rsid w:val="1AB23A71"/>
    <w:rsid w:val="1DEA52D0"/>
    <w:rsid w:val="203611E5"/>
    <w:rsid w:val="21611D4D"/>
    <w:rsid w:val="22550718"/>
    <w:rsid w:val="23083FB8"/>
    <w:rsid w:val="231F3C6E"/>
    <w:rsid w:val="24D80578"/>
    <w:rsid w:val="25DD571A"/>
    <w:rsid w:val="26597AB5"/>
    <w:rsid w:val="27723D21"/>
    <w:rsid w:val="28836A4D"/>
    <w:rsid w:val="28D64DCE"/>
    <w:rsid w:val="29C516C1"/>
    <w:rsid w:val="2A521878"/>
    <w:rsid w:val="2A665D56"/>
    <w:rsid w:val="2E3A7BAD"/>
    <w:rsid w:val="2F153914"/>
    <w:rsid w:val="2FD944CE"/>
    <w:rsid w:val="2FE7789A"/>
    <w:rsid w:val="30AE4883"/>
    <w:rsid w:val="364D5FF4"/>
    <w:rsid w:val="37A4253C"/>
    <w:rsid w:val="3A877F68"/>
    <w:rsid w:val="3B125EED"/>
    <w:rsid w:val="3B345984"/>
    <w:rsid w:val="3C5C78AF"/>
    <w:rsid w:val="3CBD713E"/>
    <w:rsid w:val="3D025FB1"/>
    <w:rsid w:val="3E096119"/>
    <w:rsid w:val="3FF7BD70"/>
    <w:rsid w:val="408A7DE6"/>
    <w:rsid w:val="411462D3"/>
    <w:rsid w:val="414F25A4"/>
    <w:rsid w:val="41943621"/>
    <w:rsid w:val="458D2861"/>
    <w:rsid w:val="46363AF3"/>
    <w:rsid w:val="4748265D"/>
    <w:rsid w:val="47DE6756"/>
    <w:rsid w:val="49945197"/>
    <w:rsid w:val="4E962786"/>
    <w:rsid w:val="4F081BFB"/>
    <w:rsid w:val="4F597923"/>
    <w:rsid w:val="4FA76588"/>
    <w:rsid w:val="4FEF1CFC"/>
    <w:rsid w:val="50A24578"/>
    <w:rsid w:val="50B415EA"/>
    <w:rsid w:val="52D07091"/>
    <w:rsid w:val="53277E51"/>
    <w:rsid w:val="541124AB"/>
    <w:rsid w:val="541D3002"/>
    <w:rsid w:val="547E6196"/>
    <w:rsid w:val="549C54BD"/>
    <w:rsid w:val="55F15A89"/>
    <w:rsid w:val="560D5C3D"/>
    <w:rsid w:val="573C5C31"/>
    <w:rsid w:val="585E27C0"/>
    <w:rsid w:val="595C21C0"/>
    <w:rsid w:val="5A7F40FD"/>
    <w:rsid w:val="5C71213D"/>
    <w:rsid w:val="5F1A59BF"/>
    <w:rsid w:val="5FBB029F"/>
    <w:rsid w:val="606F02AC"/>
    <w:rsid w:val="61E75882"/>
    <w:rsid w:val="629977B9"/>
    <w:rsid w:val="64992B79"/>
    <w:rsid w:val="6526485A"/>
    <w:rsid w:val="677FFDC6"/>
    <w:rsid w:val="695D23C7"/>
    <w:rsid w:val="6A570BC4"/>
    <w:rsid w:val="6AE93A07"/>
    <w:rsid w:val="6C057C41"/>
    <w:rsid w:val="6CB71268"/>
    <w:rsid w:val="6EFA6689"/>
    <w:rsid w:val="6F39CA92"/>
    <w:rsid w:val="7036127C"/>
    <w:rsid w:val="72BB1F0C"/>
    <w:rsid w:val="742F55AD"/>
    <w:rsid w:val="75FF8B0E"/>
    <w:rsid w:val="79297BCF"/>
    <w:rsid w:val="795A168A"/>
    <w:rsid w:val="797EF0CD"/>
    <w:rsid w:val="7A2605B3"/>
    <w:rsid w:val="7BFEC6AC"/>
    <w:rsid w:val="7C356A74"/>
    <w:rsid w:val="7C774A26"/>
    <w:rsid w:val="7CE5A5D1"/>
    <w:rsid w:val="7E0F13FB"/>
    <w:rsid w:val="7EE31326"/>
    <w:rsid w:val="7F435763"/>
    <w:rsid w:val="7FA75E87"/>
    <w:rsid w:val="8FFF3BCB"/>
    <w:rsid w:val="BBD76D83"/>
    <w:rsid w:val="BF6DF5B6"/>
    <w:rsid w:val="BFABFF0D"/>
    <w:rsid w:val="C3556DC4"/>
    <w:rsid w:val="D77FB440"/>
    <w:rsid w:val="DDE7B117"/>
    <w:rsid w:val="DEAB8150"/>
    <w:rsid w:val="DFFF7F39"/>
    <w:rsid w:val="E3AE2B63"/>
    <w:rsid w:val="EBEF0F74"/>
    <w:rsid w:val="F6FB5AEE"/>
    <w:rsid w:val="F77799BE"/>
    <w:rsid w:val="FAF7540F"/>
    <w:rsid w:val="FF3F1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9"/>
    <w:pPr>
      <w:spacing w:before="100" w:beforeAutospacing="1" w:after="100" w:afterAutospacing="1"/>
      <w:jc w:val="left"/>
      <w:outlineLvl w:val="1"/>
    </w:pPr>
    <w:rPr>
      <w:rFonts w:ascii="Cambria" w:hAnsi="Cambria" w:eastAsia="宋体"/>
      <w:b/>
      <w:bCs/>
      <w:kern w:val="0"/>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NormalIndent"/>
    <w:basedOn w:val="1"/>
    <w:next w:val="1"/>
    <w:qFormat/>
    <w:uiPriority w:val="0"/>
    <w:pPr>
      <w:ind w:firstLine="420"/>
      <w:textAlignment w:val="baseline"/>
    </w:pPr>
    <w:rPr>
      <w:rFonts w:ascii="宋体"/>
      <w:kern w:val="0"/>
      <w:szCs w:val="24"/>
    </w:rPr>
  </w:style>
  <w:style w:type="paragraph" w:styleId="4">
    <w:name w:val="annotation text"/>
    <w:basedOn w:val="1"/>
    <w:link w:val="14"/>
    <w:semiHidden/>
    <w:unhideWhenUsed/>
    <w:qFormat/>
    <w:uiPriority w:val="99"/>
    <w:pPr>
      <w:jc w:val="left"/>
    </w:pPr>
  </w:style>
  <w:style w:type="paragraph" w:styleId="5">
    <w:name w:val="Body Text"/>
    <w:basedOn w:val="1"/>
    <w:next w:val="6"/>
    <w:qFormat/>
    <w:uiPriority w:val="0"/>
    <w:pPr>
      <w:widowControl w:val="0"/>
      <w:kinsoku/>
      <w:autoSpaceDE/>
      <w:autoSpaceDN/>
      <w:adjustRightInd/>
      <w:snapToGrid/>
      <w:spacing w:line="360" w:lineRule="auto"/>
      <w:jc w:val="both"/>
      <w:textAlignment w:val="auto"/>
    </w:pPr>
    <w:rPr>
      <w:rFonts w:ascii="Calibri" w:hAnsi="Calibri" w:eastAsia="宋体" w:cs="Times New Roman"/>
      <w:snapToGrid/>
      <w:color w:val="auto"/>
      <w:kern w:val="2"/>
      <w:szCs w:val="24"/>
    </w:rPr>
  </w:style>
  <w:style w:type="paragraph" w:styleId="6">
    <w:name w:val="toc 2"/>
    <w:basedOn w:val="1"/>
    <w:next w:val="1"/>
    <w:qFormat/>
    <w:uiPriority w:val="0"/>
    <w:pPr>
      <w:kinsoku w:val="0"/>
      <w:autoSpaceDE w:val="0"/>
      <w:autoSpaceDN w:val="0"/>
      <w:adjustRightInd w:val="0"/>
      <w:snapToGrid w:val="0"/>
      <w:ind w:left="420" w:leftChars="200"/>
      <w:jc w:val="left"/>
      <w:textAlignment w:val="baseline"/>
    </w:pPr>
    <w:rPr>
      <w:rFonts w:ascii="Arial" w:hAnsi="Arial" w:cs="Times New Roman"/>
      <w:color w:val="000000"/>
      <w:kern w:val="0"/>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annotation subject"/>
    <w:basedOn w:val="4"/>
    <w:next w:val="4"/>
    <w:link w:val="15"/>
    <w:qFormat/>
    <w:uiPriority w:val="0"/>
    <w:rPr>
      <w:b/>
      <w:bCs/>
    </w:rPr>
  </w:style>
  <w:style w:type="character" w:styleId="12">
    <w:name w:val="annotation reference"/>
    <w:basedOn w:val="11"/>
    <w:semiHidden/>
    <w:unhideWhenUsed/>
    <w:qFormat/>
    <w:uiPriority w:val="99"/>
    <w:rPr>
      <w:sz w:val="21"/>
      <w:szCs w:val="21"/>
    </w:rPr>
  </w:style>
  <w:style w:type="paragraph" w:customStyle="1" w:styleId="13">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4">
    <w:name w:val="批注文字 字符"/>
    <w:basedOn w:val="11"/>
    <w:link w:val="4"/>
    <w:semiHidden/>
    <w:qFormat/>
    <w:uiPriority w:val="99"/>
    <w:rPr>
      <w:kern w:val="2"/>
      <w:sz w:val="21"/>
      <w:szCs w:val="24"/>
    </w:rPr>
  </w:style>
  <w:style w:type="character" w:customStyle="1" w:styleId="15">
    <w:name w:val="批注主题 字符"/>
    <w:basedOn w:val="14"/>
    <w:link w:val="9"/>
    <w:qFormat/>
    <w:uiPriority w:val="0"/>
    <w:rPr>
      <w:b/>
      <w:bCs/>
      <w:kern w:val="2"/>
      <w:sz w:val="21"/>
      <w:szCs w:val="24"/>
    </w:rPr>
  </w:style>
  <w:style w:type="paragraph" w:customStyle="1" w:styleId="16">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3332</Words>
  <Characters>3566</Characters>
  <Lines>27</Lines>
  <Paragraphs>7</Paragraphs>
  <TotalTime>1</TotalTime>
  <ScaleCrop>false</ScaleCrop>
  <LinksUpToDate>false</LinksUpToDate>
  <CharactersWithSpaces>3636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2024-05-11T14:22:00Z</dcterms:created>
  <dc:creator>随风而来</dc:creator>
  <cp:lastModifiedBy>姜谦谦</cp:lastModifiedBy>
  <cp:lastPrinted>2024-05-11T15:16:00Z</cp:lastPrinted>
  <dcterms:modified xsi:type="dcterms:W3CDTF">2024-07-09T01:30:05Z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68905BB91BF04AD2A0093AAAF9C1DA59</vt:lpwstr>
  </property>
</Properties>
</file>